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78E07" w14:textId="77777777" w:rsidR="006E71A2" w:rsidRPr="001D52A0" w:rsidRDefault="006E71A2" w:rsidP="00E23658">
      <w:pPr>
        <w:rPr>
          <w:rFonts w:asciiTheme="minorHAnsi" w:hAnsiTheme="minorHAnsi" w:cs="Arial"/>
          <w:b/>
          <w:sz w:val="22"/>
          <w:szCs w:val="22"/>
        </w:rPr>
      </w:pPr>
    </w:p>
    <w:tbl>
      <w:tblPr>
        <w:tblW w:w="10328" w:type="dxa"/>
        <w:tblLayout w:type="fixed"/>
        <w:tblLook w:val="0000" w:firstRow="0" w:lastRow="0" w:firstColumn="0" w:lastColumn="0" w:noHBand="0" w:noVBand="0"/>
      </w:tblPr>
      <w:tblGrid>
        <w:gridCol w:w="6921"/>
        <w:gridCol w:w="3407"/>
      </w:tblGrid>
      <w:tr w:rsidR="00242633" w:rsidRPr="001D52A0" w14:paraId="4E0C72A8" w14:textId="77777777" w:rsidTr="00162258">
        <w:trPr>
          <w:trHeight w:val="285"/>
        </w:trPr>
        <w:tc>
          <w:tcPr>
            <w:tcW w:w="6921" w:type="dxa"/>
          </w:tcPr>
          <w:p w14:paraId="5C8091BC" w14:textId="77777777" w:rsidR="000A3B80" w:rsidRPr="001D52A0" w:rsidRDefault="00EF22E6" w:rsidP="00EF22E6">
            <w:pPr>
              <w:pStyle w:val="Heading7"/>
              <w:rPr>
                <w:rFonts w:asciiTheme="minorHAnsi" w:hAnsiTheme="minorHAnsi" w:cs="Arial"/>
                <w:sz w:val="22"/>
                <w:szCs w:val="22"/>
              </w:rPr>
            </w:pPr>
            <w:r w:rsidRPr="001D52A0">
              <w:rPr>
                <w:rFonts w:asciiTheme="minorHAnsi" w:hAnsiTheme="minorHAnsi" w:cs="Arial"/>
                <w:sz w:val="22"/>
                <w:szCs w:val="22"/>
              </w:rPr>
              <w:t>WEST LONDON WASTE AUTHORITY</w:t>
            </w:r>
          </w:p>
        </w:tc>
        <w:tc>
          <w:tcPr>
            <w:tcW w:w="3406" w:type="dxa"/>
          </w:tcPr>
          <w:p w14:paraId="4B63C86A" w14:textId="77777777" w:rsidR="00242633" w:rsidRPr="001D52A0" w:rsidRDefault="00242633" w:rsidP="005E6835">
            <w:pPr>
              <w:spacing w:after="240"/>
              <w:ind w:right="317"/>
              <w:jc w:val="right"/>
              <w:rPr>
                <w:rFonts w:asciiTheme="minorHAnsi" w:hAnsiTheme="minorHAnsi" w:cs="Arial"/>
                <w:sz w:val="22"/>
                <w:szCs w:val="22"/>
              </w:rPr>
            </w:pPr>
          </w:p>
        </w:tc>
      </w:tr>
      <w:tr w:rsidR="00242633" w:rsidRPr="001D52A0" w14:paraId="621B9011" w14:textId="77777777" w:rsidTr="00162258">
        <w:trPr>
          <w:trHeight w:val="274"/>
        </w:trPr>
        <w:tc>
          <w:tcPr>
            <w:tcW w:w="6921" w:type="dxa"/>
          </w:tcPr>
          <w:p w14:paraId="4E97834D" w14:textId="77777777" w:rsidR="00242633" w:rsidRPr="001D52A0" w:rsidRDefault="00242633" w:rsidP="00AB00D5">
            <w:pPr>
              <w:spacing w:after="240"/>
              <w:rPr>
                <w:rFonts w:asciiTheme="minorHAnsi" w:hAnsiTheme="minorHAnsi" w:cs="Arial"/>
                <w:sz w:val="22"/>
                <w:szCs w:val="22"/>
              </w:rPr>
            </w:pPr>
            <w:r w:rsidRPr="001D52A0">
              <w:rPr>
                <w:rFonts w:asciiTheme="minorHAnsi" w:hAnsiTheme="minorHAnsi" w:cs="Arial"/>
                <w:sz w:val="22"/>
                <w:szCs w:val="22"/>
              </w:rPr>
              <w:t xml:space="preserve">Report of the </w:t>
            </w:r>
            <w:r w:rsidR="008810EA" w:rsidRPr="001D52A0">
              <w:rPr>
                <w:rFonts w:asciiTheme="minorHAnsi" w:hAnsiTheme="minorHAnsi" w:cs="Arial"/>
                <w:sz w:val="22"/>
                <w:szCs w:val="22"/>
              </w:rPr>
              <w:t xml:space="preserve">Finance </w:t>
            </w:r>
            <w:r w:rsidR="00AB00D5" w:rsidRPr="001D52A0">
              <w:rPr>
                <w:rFonts w:asciiTheme="minorHAnsi" w:hAnsiTheme="minorHAnsi" w:cs="Arial"/>
                <w:sz w:val="22"/>
                <w:szCs w:val="22"/>
              </w:rPr>
              <w:t>Manager</w:t>
            </w:r>
          </w:p>
        </w:tc>
        <w:tc>
          <w:tcPr>
            <w:tcW w:w="3406" w:type="dxa"/>
          </w:tcPr>
          <w:p w14:paraId="25950CDF" w14:textId="77777777" w:rsidR="00242633" w:rsidRPr="001D52A0" w:rsidRDefault="00AB00D5" w:rsidP="00897697">
            <w:pPr>
              <w:spacing w:after="240"/>
              <w:ind w:left="34"/>
              <w:jc w:val="right"/>
              <w:rPr>
                <w:rFonts w:asciiTheme="minorHAnsi" w:hAnsiTheme="minorHAnsi" w:cs="Arial"/>
                <w:sz w:val="22"/>
                <w:szCs w:val="22"/>
              </w:rPr>
            </w:pPr>
            <w:r w:rsidRPr="001D52A0">
              <w:rPr>
                <w:rFonts w:asciiTheme="minorHAnsi" w:hAnsiTheme="minorHAnsi" w:cs="Arial"/>
                <w:sz w:val="22"/>
                <w:szCs w:val="22"/>
              </w:rPr>
              <w:t>01 December 2023</w:t>
            </w:r>
          </w:p>
        </w:tc>
      </w:tr>
      <w:tr w:rsidR="00242633" w:rsidRPr="001D52A0" w14:paraId="0A502288" w14:textId="77777777" w:rsidTr="00162258">
        <w:trPr>
          <w:cantSplit/>
          <w:trHeight w:val="345"/>
        </w:trPr>
        <w:tc>
          <w:tcPr>
            <w:tcW w:w="10328" w:type="dxa"/>
            <w:gridSpan w:val="2"/>
          </w:tcPr>
          <w:p w14:paraId="5672B9D6" w14:textId="5DD625E0" w:rsidR="00242633" w:rsidRPr="001D52A0" w:rsidRDefault="00AB00D5" w:rsidP="0053145C">
            <w:pPr>
              <w:spacing w:after="360"/>
              <w:rPr>
                <w:rFonts w:asciiTheme="minorHAnsi" w:hAnsiTheme="minorHAnsi" w:cs="Arial"/>
                <w:b/>
                <w:sz w:val="22"/>
                <w:szCs w:val="22"/>
              </w:rPr>
            </w:pPr>
            <w:r w:rsidRPr="001D52A0">
              <w:rPr>
                <w:rFonts w:asciiTheme="minorHAnsi" w:hAnsiTheme="minorHAnsi" w:cs="Arial"/>
                <w:b/>
                <w:sz w:val="22"/>
                <w:szCs w:val="22"/>
              </w:rPr>
              <w:t>2024/25</w:t>
            </w:r>
            <w:r w:rsidR="00907A05" w:rsidRPr="001D52A0">
              <w:rPr>
                <w:rFonts w:asciiTheme="minorHAnsi" w:hAnsiTheme="minorHAnsi" w:cs="Arial"/>
                <w:b/>
                <w:sz w:val="22"/>
                <w:szCs w:val="22"/>
              </w:rPr>
              <w:t xml:space="preserve"> Budget </w:t>
            </w:r>
            <w:r w:rsidR="00300FEE" w:rsidRPr="001D52A0">
              <w:rPr>
                <w:rFonts w:asciiTheme="minorHAnsi" w:hAnsiTheme="minorHAnsi" w:cs="Arial"/>
                <w:b/>
                <w:sz w:val="22"/>
                <w:szCs w:val="22"/>
              </w:rPr>
              <w:t xml:space="preserve">    </w:t>
            </w:r>
          </w:p>
        </w:tc>
      </w:tr>
      <w:tr w:rsidR="00242633" w:rsidRPr="001D52A0" w14:paraId="7516431B" w14:textId="77777777" w:rsidTr="00162258">
        <w:trPr>
          <w:cantSplit/>
          <w:trHeight w:val="1770"/>
        </w:trPr>
        <w:tc>
          <w:tcPr>
            <w:tcW w:w="10328" w:type="dxa"/>
            <w:gridSpan w:val="2"/>
            <w:tcBorders>
              <w:top w:val="single" w:sz="4" w:space="0" w:color="auto"/>
              <w:left w:val="single" w:sz="4" w:space="0" w:color="auto"/>
              <w:right w:val="single" w:sz="4" w:space="0" w:color="auto"/>
            </w:tcBorders>
          </w:tcPr>
          <w:p w14:paraId="3F498270" w14:textId="77777777" w:rsidR="00242633" w:rsidRPr="001D52A0" w:rsidRDefault="00242633">
            <w:pPr>
              <w:pStyle w:val="Heading2"/>
              <w:spacing w:before="120" w:after="120"/>
              <w:rPr>
                <w:rFonts w:asciiTheme="minorHAnsi" w:hAnsiTheme="minorHAnsi" w:cs="Arial"/>
                <w:sz w:val="22"/>
                <w:szCs w:val="22"/>
                <w:lang w:val="en-GB"/>
              </w:rPr>
            </w:pPr>
            <w:r w:rsidRPr="001D52A0">
              <w:rPr>
                <w:rFonts w:asciiTheme="minorHAnsi" w:hAnsiTheme="minorHAnsi" w:cs="Arial"/>
                <w:sz w:val="22"/>
                <w:szCs w:val="22"/>
                <w:lang w:val="en-GB"/>
              </w:rPr>
              <w:t>SUMMARY</w:t>
            </w:r>
          </w:p>
          <w:p w14:paraId="021DE406" w14:textId="77777777" w:rsidR="00C13CC9" w:rsidRPr="001D52A0" w:rsidRDefault="00DE481F" w:rsidP="005C5F59">
            <w:pPr>
              <w:pStyle w:val="BodyText"/>
              <w:spacing w:after="120"/>
              <w:rPr>
                <w:rFonts w:asciiTheme="minorHAnsi" w:hAnsiTheme="minorHAnsi" w:cs="Arial"/>
                <w:sz w:val="22"/>
                <w:szCs w:val="22"/>
                <w:lang w:val="en-GB"/>
              </w:rPr>
            </w:pPr>
            <w:r w:rsidRPr="001D52A0">
              <w:rPr>
                <w:rFonts w:asciiTheme="minorHAnsi" w:hAnsiTheme="minorHAnsi" w:cs="Arial"/>
                <w:sz w:val="22"/>
                <w:szCs w:val="22"/>
                <w:lang w:val="en-GB"/>
              </w:rPr>
              <w:t xml:space="preserve">This report sets out the </w:t>
            </w:r>
            <w:r w:rsidR="00AB00D5" w:rsidRPr="001D52A0">
              <w:rPr>
                <w:rFonts w:asciiTheme="minorHAnsi" w:hAnsiTheme="minorHAnsi" w:cs="Arial"/>
                <w:sz w:val="22"/>
                <w:szCs w:val="22"/>
                <w:lang w:val="en-GB"/>
              </w:rPr>
              <w:t>2024/25</w:t>
            </w:r>
            <w:r w:rsidRPr="001D52A0">
              <w:rPr>
                <w:rFonts w:asciiTheme="minorHAnsi" w:hAnsiTheme="minorHAnsi" w:cs="Arial"/>
                <w:sz w:val="22"/>
                <w:szCs w:val="22"/>
                <w:lang w:val="en-GB"/>
              </w:rPr>
              <w:t xml:space="preserve"> budget proposal </w:t>
            </w:r>
            <w:r w:rsidR="00AA16D8" w:rsidRPr="001D52A0">
              <w:rPr>
                <w:rFonts w:asciiTheme="minorHAnsi" w:hAnsiTheme="minorHAnsi" w:cs="Arial"/>
                <w:sz w:val="22"/>
                <w:szCs w:val="22"/>
                <w:lang w:val="en-GB"/>
              </w:rPr>
              <w:t xml:space="preserve">and </w:t>
            </w:r>
            <w:r w:rsidR="001514E8" w:rsidRPr="001D52A0">
              <w:rPr>
                <w:rFonts w:asciiTheme="minorHAnsi" w:hAnsiTheme="minorHAnsi" w:cs="Arial"/>
                <w:sz w:val="22"/>
                <w:szCs w:val="22"/>
                <w:lang w:val="en-GB"/>
              </w:rPr>
              <w:t xml:space="preserve">the key points </w:t>
            </w:r>
            <w:r w:rsidR="00D37D45" w:rsidRPr="001D52A0">
              <w:rPr>
                <w:rFonts w:asciiTheme="minorHAnsi" w:hAnsiTheme="minorHAnsi" w:cs="Arial"/>
                <w:sz w:val="22"/>
                <w:szCs w:val="22"/>
                <w:lang w:val="en-GB"/>
              </w:rPr>
              <w:t xml:space="preserve">are </w:t>
            </w:r>
            <w:r w:rsidR="001514E8" w:rsidRPr="001D52A0">
              <w:rPr>
                <w:rFonts w:asciiTheme="minorHAnsi" w:hAnsiTheme="minorHAnsi" w:cs="Arial"/>
                <w:sz w:val="22"/>
                <w:szCs w:val="22"/>
                <w:lang w:val="en-GB"/>
              </w:rPr>
              <w:t xml:space="preserve">as </w:t>
            </w:r>
            <w:r w:rsidR="005C5F59" w:rsidRPr="001D52A0">
              <w:rPr>
                <w:rFonts w:asciiTheme="minorHAnsi" w:hAnsiTheme="minorHAnsi" w:cs="Arial"/>
                <w:sz w:val="22"/>
                <w:szCs w:val="22"/>
                <w:lang w:val="en-GB"/>
              </w:rPr>
              <w:t>follows:</w:t>
            </w:r>
          </w:p>
          <w:p w14:paraId="4A50BAF0" w14:textId="3C2E1FF7" w:rsidR="00AA16D8" w:rsidRDefault="00BF1EDF" w:rsidP="00AA16D8">
            <w:pPr>
              <w:pStyle w:val="BodyText"/>
              <w:numPr>
                <w:ilvl w:val="0"/>
                <w:numId w:val="28"/>
              </w:numPr>
              <w:spacing w:after="120"/>
              <w:rPr>
                <w:rFonts w:asciiTheme="minorHAnsi" w:hAnsiTheme="minorHAnsi" w:cs="Arial"/>
                <w:sz w:val="22"/>
                <w:szCs w:val="22"/>
                <w:lang w:val="en-GB"/>
              </w:rPr>
            </w:pPr>
            <w:r w:rsidRPr="001D52A0">
              <w:rPr>
                <w:rFonts w:asciiTheme="minorHAnsi" w:hAnsiTheme="minorHAnsi" w:cs="Arial"/>
                <w:sz w:val="22"/>
                <w:szCs w:val="22"/>
                <w:lang w:val="en-GB"/>
              </w:rPr>
              <w:t xml:space="preserve">Growth </w:t>
            </w:r>
            <w:r w:rsidR="00747CD0" w:rsidRPr="001D52A0">
              <w:rPr>
                <w:rFonts w:asciiTheme="minorHAnsi" w:hAnsiTheme="minorHAnsi" w:cs="Arial"/>
                <w:sz w:val="22"/>
                <w:szCs w:val="22"/>
                <w:lang w:val="en-GB"/>
              </w:rPr>
              <w:t>forecast</w:t>
            </w:r>
            <w:r w:rsidRPr="001D52A0">
              <w:rPr>
                <w:rFonts w:asciiTheme="minorHAnsi" w:hAnsiTheme="minorHAnsi" w:cs="Arial"/>
                <w:sz w:val="22"/>
                <w:szCs w:val="22"/>
                <w:lang w:val="en-GB"/>
              </w:rPr>
              <w:t xml:space="preserve"> in levies</w:t>
            </w:r>
            <w:r w:rsidR="00AA16D8" w:rsidRPr="001D52A0">
              <w:rPr>
                <w:rFonts w:asciiTheme="minorHAnsi" w:hAnsiTheme="minorHAnsi" w:cs="Arial"/>
                <w:sz w:val="22"/>
                <w:szCs w:val="22"/>
                <w:lang w:val="en-GB"/>
              </w:rPr>
              <w:t xml:space="preserve"> </w:t>
            </w:r>
            <w:r w:rsidR="00D37D45" w:rsidRPr="001D52A0">
              <w:rPr>
                <w:rFonts w:asciiTheme="minorHAnsi" w:hAnsiTheme="minorHAnsi" w:cs="Arial"/>
                <w:sz w:val="22"/>
                <w:szCs w:val="22"/>
                <w:lang w:val="en-GB"/>
              </w:rPr>
              <w:t xml:space="preserve">is </w:t>
            </w:r>
            <w:r w:rsidR="00747CD0" w:rsidRPr="001D52A0">
              <w:rPr>
                <w:rFonts w:asciiTheme="minorHAnsi" w:hAnsiTheme="minorHAnsi" w:cs="Arial"/>
                <w:sz w:val="22"/>
                <w:szCs w:val="22"/>
                <w:lang w:val="en-GB"/>
              </w:rPr>
              <w:t>8</w:t>
            </w:r>
            <w:r w:rsidR="00162258" w:rsidRPr="001D52A0">
              <w:rPr>
                <w:rFonts w:asciiTheme="minorHAnsi" w:hAnsiTheme="minorHAnsi" w:cs="Arial"/>
                <w:sz w:val="22"/>
                <w:szCs w:val="22"/>
                <w:lang w:val="en-GB"/>
              </w:rPr>
              <w:t>% (£</w:t>
            </w:r>
            <w:r w:rsidR="00747CD0" w:rsidRPr="001D52A0">
              <w:rPr>
                <w:rFonts w:asciiTheme="minorHAnsi" w:hAnsiTheme="minorHAnsi" w:cs="Arial"/>
                <w:sz w:val="22"/>
                <w:szCs w:val="22"/>
                <w:lang w:val="en-GB"/>
              </w:rPr>
              <w:t>5.</w:t>
            </w:r>
            <w:r w:rsidRPr="001D52A0">
              <w:rPr>
                <w:rFonts w:asciiTheme="minorHAnsi" w:hAnsiTheme="minorHAnsi" w:cs="Arial"/>
                <w:sz w:val="22"/>
                <w:szCs w:val="22"/>
                <w:lang w:val="en-GB"/>
              </w:rPr>
              <w:t>5</w:t>
            </w:r>
            <w:r w:rsidR="00AA16D8" w:rsidRPr="001D52A0">
              <w:rPr>
                <w:rFonts w:asciiTheme="minorHAnsi" w:hAnsiTheme="minorHAnsi" w:cs="Arial"/>
                <w:sz w:val="22"/>
                <w:szCs w:val="22"/>
                <w:lang w:val="en-GB"/>
              </w:rPr>
              <w:t xml:space="preserve"> million) in </w:t>
            </w:r>
            <w:r w:rsidRPr="001D52A0">
              <w:rPr>
                <w:rFonts w:asciiTheme="minorHAnsi" w:hAnsiTheme="minorHAnsi" w:cs="Arial"/>
                <w:sz w:val="22"/>
                <w:szCs w:val="22"/>
                <w:lang w:val="en-GB"/>
              </w:rPr>
              <w:t xml:space="preserve">the </w:t>
            </w:r>
            <w:r w:rsidR="00815440" w:rsidRPr="001D52A0">
              <w:rPr>
                <w:rFonts w:asciiTheme="minorHAnsi" w:hAnsiTheme="minorHAnsi" w:cs="Arial"/>
                <w:sz w:val="22"/>
                <w:szCs w:val="22"/>
                <w:lang w:val="en-GB"/>
              </w:rPr>
              <w:t>context of</w:t>
            </w:r>
            <w:r w:rsidR="003B6611" w:rsidRPr="001D52A0">
              <w:rPr>
                <w:rFonts w:asciiTheme="minorHAnsi" w:hAnsiTheme="minorHAnsi" w:cs="Arial"/>
                <w:sz w:val="22"/>
                <w:szCs w:val="22"/>
                <w:lang w:val="en-GB"/>
              </w:rPr>
              <w:t xml:space="preserve"> inflation being higher than </w:t>
            </w:r>
            <w:r w:rsidR="00815440" w:rsidRPr="001D52A0">
              <w:rPr>
                <w:rFonts w:asciiTheme="minorHAnsi" w:hAnsiTheme="minorHAnsi" w:cs="Arial"/>
                <w:sz w:val="22"/>
                <w:szCs w:val="22"/>
                <w:lang w:val="en-GB"/>
              </w:rPr>
              <w:t xml:space="preserve">budgeted </w:t>
            </w:r>
            <w:r w:rsidR="003B6611" w:rsidRPr="001D52A0">
              <w:rPr>
                <w:rFonts w:asciiTheme="minorHAnsi" w:hAnsiTheme="minorHAnsi" w:cs="Arial"/>
                <w:sz w:val="22"/>
                <w:szCs w:val="22"/>
                <w:lang w:val="en-GB"/>
              </w:rPr>
              <w:t>for prior year (</w:t>
            </w:r>
            <w:r w:rsidR="00815440" w:rsidRPr="001D52A0">
              <w:rPr>
                <w:rFonts w:asciiTheme="minorHAnsi" w:hAnsiTheme="minorHAnsi" w:cs="Arial"/>
                <w:sz w:val="22"/>
                <w:szCs w:val="22"/>
                <w:lang w:val="en-GB"/>
              </w:rPr>
              <w:t xml:space="preserve">4%), </w:t>
            </w:r>
            <w:r w:rsidR="00B844CF" w:rsidRPr="001D52A0">
              <w:rPr>
                <w:rFonts w:asciiTheme="minorHAnsi" w:hAnsiTheme="minorHAnsi" w:cs="Arial"/>
                <w:sz w:val="22"/>
                <w:szCs w:val="22"/>
                <w:lang w:val="en-GB"/>
              </w:rPr>
              <w:t>providing additional services to Boroughs to reduce residual waste (1.5%)</w:t>
            </w:r>
            <w:r w:rsidR="006E174A" w:rsidRPr="001D52A0">
              <w:rPr>
                <w:rFonts w:asciiTheme="minorHAnsi" w:hAnsiTheme="minorHAnsi" w:cs="Arial"/>
                <w:sz w:val="22"/>
                <w:szCs w:val="22"/>
                <w:lang w:val="en-GB"/>
              </w:rPr>
              <w:t xml:space="preserve"> </w:t>
            </w:r>
            <w:r w:rsidR="00815440" w:rsidRPr="001D52A0">
              <w:rPr>
                <w:rFonts w:asciiTheme="minorHAnsi" w:hAnsiTheme="minorHAnsi" w:cs="Arial"/>
                <w:sz w:val="22"/>
                <w:szCs w:val="22"/>
                <w:lang w:val="en-GB"/>
              </w:rPr>
              <w:t>and inflation for the current year budgeted at 6.5% but dampened by the PPP contract for residual waste</w:t>
            </w:r>
            <w:r w:rsidR="00AE6156" w:rsidRPr="001D52A0">
              <w:rPr>
                <w:rFonts w:asciiTheme="minorHAnsi" w:hAnsiTheme="minorHAnsi" w:cs="Arial"/>
                <w:sz w:val="22"/>
                <w:szCs w:val="22"/>
                <w:lang w:val="en-GB"/>
              </w:rPr>
              <w:t xml:space="preserve"> and savings made where appropriate</w:t>
            </w:r>
            <w:r w:rsidR="002F3ED5" w:rsidRPr="001D52A0">
              <w:rPr>
                <w:rFonts w:asciiTheme="minorHAnsi" w:hAnsiTheme="minorHAnsi" w:cs="Arial"/>
                <w:sz w:val="22"/>
                <w:szCs w:val="22"/>
                <w:lang w:val="en-GB"/>
              </w:rPr>
              <w:t xml:space="preserve"> (</w:t>
            </w:r>
            <w:r w:rsidR="00B844CF" w:rsidRPr="001D52A0">
              <w:rPr>
                <w:rFonts w:asciiTheme="minorHAnsi" w:hAnsiTheme="minorHAnsi" w:cs="Arial"/>
                <w:sz w:val="22"/>
                <w:szCs w:val="22"/>
                <w:lang w:val="en-GB"/>
              </w:rPr>
              <w:t>2.5</w:t>
            </w:r>
            <w:r w:rsidR="002F3ED5" w:rsidRPr="001D52A0">
              <w:rPr>
                <w:rFonts w:asciiTheme="minorHAnsi" w:hAnsiTheme="minorHAnsi" w:cs="Arial"/>
                <w:sz w:val="22"/>
                <w:szCs w:val="22"/>
                <w:lang w:val="en-GB"/>
              </w:rPr>
              <w:t>%)</w:t>
            </w:r>
            <w:r w:rsidR="00815440" w:rsidRPr="001D52A0">
              <w:rPr>
                <w:rFonts w:asciiTheme="minorHAnsi" w:hAnsiTheme="minorHAnsi" w:cs="Arial"/>
                <w:sz w:val="22"/>
                <w:szCs w:val="22"/>
                <w:lang w:val="en-GB"/>
              </w:rPr>
              <w:t>.</w:t>
            </w:r>
          </w:p>
          <w:p w14:paraId="508D084B" w14:textId="27FBE1D7" w:rsidR="00022AD6" w:rsidRPr="001D52A0" w:rsidRDefault="00022AD6" w:rsidP="00AA16D8">
            <w:pPr>
              <w:pStyle w:val="BodyText"/>
              <w:numPr>
                <w:ilvl w:val="0"/>
                <w:numId w:val="28"/>
              </w:numPr>
              <w:spacing w:after="120"/>
              <w:rPr>
                <w:rFonts w:asciiTheme="minorHAnsi" w:hAnsiTheme="minorHAnsi" w:cs="Arial"/>
                <w:sz w:val="22"/>
                <w:szCs w:val="22"/>
                <w:lang w:val="en-GB"/>
              </w:rPr>
            </w:pPr>
            <w:r w:rsidRPr="001D52A0">
              <w:rPr>
                <w:rFonts w:asciiTheme="minorHAnsi" w:hAnsiTheme="minorHAnsi" w:cs="Arial"/>
                <w:sz w:val="22"/>
                <w:szCs w:val="22"/>
                <w:lang w:val="en-GB"/>
              </w:rPr>
              <w:t>The Authority is budgeting to pay boroughs PPP income (i.e. electricity) totalling £4.2 million by September 2024.</w:t>
            </w:r>
            <w:r>
              <w:rPr>
                <w:rFonts w:asciiTheme="minorHAnsi" w:hAnsiTheme="minorHAnsi" w:cs="Arial"/>
                <w:sz w:val="22"/>
                <w:szCs w:val="22"/>
                <w:lang w:val="en-GB"/>
              </w:rPr>
              <w:t xml:space="preserve">  The growth in levies offset against the PPP income is therefore reduced to 1.9%.</w:t>
            </w:r>
          </w:p>
          <w:p w14:paraId="1519DF62" w14:textId="77777777" w:rsidR="00AA16D8" w:rsidRPr="001D52A0" w:rsidRDefault="00AA16D8" w:rsidP="00D37D45">
            <w:pPr>
              <w:pStyle w:val="BodyText"/>
              <w:numPr>
                <w:ilvl w:val="0"/>
                <w:numId w:val="28"/>
              </w:numPr>
              <w:spacing w:after="120"/>
              <w:rPr>
                <w:rFonts w:asciiTheme="minorHAnsi" w:hAnsiTheme="minorHAnsi" w:cs="Arial"/>
                <w:sz w:val="22"/>
                <w:szCs w:val="22"/>
                <w:lang w:val="en-GB"/>
              </w:rPr>
            </w:pPr>
            <w:r w:rsidRPr="001D52A0">
              <w:rPr>
                <w:rFonts w:asciiTheme="minorHAnsi" w:hAnsiTheme="minorHAnsi" w:cs="Arial"/>
                <w:sz w:val="22"/>
                <w:szCs w:val="22"/>
                <w:lang w:val="en-GB"/>
              </w:rPr>
              <w:t>A programme of work totalling £2.8</w:t>
            </w:r>
            <w:r w:rsidR="00654966" w:rsidRPr="001D52A0">
              <w:rPr>
                <w:rFonts w:asciiTheme="minorHAnsi" w:hAnsiTheme="minorHAnsi" w:cs="Arial"/>
                <w:sz w:val="22"/>
                <w:szCs w:val="22"/>
                <w:lang w:val="en-GB"/>
              </w:rPr>
              <w:t>m</w:t>
            </w:r>
            <w:r w:rsidRPr="001D52A0">
              <w:rPr>
                <w:rFonts w:asciiTheme="minorHAnsi" w:hAnsiTheme="minorHAnsi" w:cs="Arial"/>
                <w:sz w:val="22"/>
                <w:szCs w:val="22"/>
                <w:lang w:val="en-GB"/>
              </w:rPr>
              <w:t xml:space="preserve"> over 3</w:t>
            </w:r>
            <w:r w:rsidR="00162258" w:rsidRPr="001D52A0">
              <w:rPr>
                <w:rFonts w:asciiTheme="minorHAnsi" w:hAnsiTheme="minorHAnsi" w:cs="Arial"/>
                <w:sz w:val="22"/>
                <w:szCs w:val="22"/>
                <w:lang w:val="en-GB"/>
              </w:rPr>
              <w:t xml:space="preserve"> years (£1.2 million in 2024/25</w:t>
            </w:r>
            <w:r w:rsidRPr="001D52A0">
              <w:rPr>
                <w:rFonts w:asciiTheme="minorHAnsi" w:hAnsiTheme="minorHAnsi" w:cs="Arial"/>
                <w:sz w:val="22"/>
                <w:szCs w:val="22"/>
                <w:lang w:val="en-GB"/>
              </w:rPr>
              <w:t xml:space="preserve">) </w:t>
            </w:r>
            <w:r w:rsidR="00D37D45" w:rsidRPr="001D52A0">
              <w:rPr>
                <w:rFonts w:asciiTheme="minorHAnsi" w:hAnsiTheme="minorHAnsi" w:cs="Arial"/>
                <w:sz w:val="22"/>
                <w:szCs w:val="22"/>
                <w:lang w:val="en-GB"/>
              </w:rPr>
              <w:t xml:space="preserve">is </w:t>
            </w:r>
            <w:r w:rsidRPr="001D52A0">
              <w:rPr>
                <w:rFonts w:asciiTheme="minorHAnsi" w:hAnsiTheme="minorHAnsi" w:cs="Arial"/>
                <w:sz w:val="22"/>
                <w:szCs w:val="22"/>
                <w:lang w:val="en-GB"/>
              </w:rPr>
              <w:t xml:space="preserve">to be funded from the Authority’s share of PPP income and </w:t>
            </w:r>
            <w:r w:rsidR="00D37D45" w:rsidRPr="001D52A0">
              <w:rPr>
                <w:rFonts w:asciiTheme="minorHAnsi" w:hAnsiTheme="minorHAnsi" w:cs="Arial"/>
                <w:sz w:val="22"/>
                <w:szCs w:val="22"/>
                <w:lang w:val="en-GB"/>
              </w:rPr>
              <w:t xml:space="preserve">will </w:t>
            </w:r>
            <w:r w:rsidRPr="001D52A0">
              <w:rPr>
                <w:rFonts w:asciiTheme="minorHAnsi" w:hAnsiTheme="minorHAnsi" w:cs="Arial"/>
                <w:sz w:val="22"/>
                <w:szCs w:val="22"/>
                <w:lang w:val="en-GB"/>
              </w:rPr>
              <w:t>deliver carbon and financial savings directly to boroughs</w:t>
            </w:r>
            <w:r w:rsidR="00162258" w:rsidRPr="001D52A0">
              <w:rPr>
                <w:rFonts w:asciiTheme="minorHAnsi" w:hAnsiTheme="minorHAnsi" w:cs="Arial"/>
                <w:sz w:val="22"/>
                <w:szCs w:val="22"/>
                <w:lang w:val="en-GB"/>
              </w:rPr>
              <w:t>.  In the prior year, this was budgeted at £1.1 million.</w:t>
            </w:r>
          </w:p>
          <w:p w14:paraId="16206D85" w14:textId="684863EB" w:rsidR="007D7C54" w:rsidRPr="001D52A0" w:rsidRDefault="007D7C54" w:rsidP="00022AD6">
            <w:pPr>
              <w:pStyle w:val="BodyText"/>
              <w:spacing w:after="120"/>
              <w:ind w:left="720"/>
              <w:rPr>
                <w:rFonts w:asciiTheme="minorHAnsi" w:hAnsiTheme="minorHAnsi" w:cs="Arial"/>
                <w:sz w:val="22"/>
                <w:szCs w:val="22"/>
                <w:lang w:val="en-GB"/>
              </w:rPr>
            </w:pPr>
          </w:p>
        </w:tc>
      </w:tr>
      <w:tr w:rsidR="00242633" w:rsidRPr="001D52A0" w14:paraId="52AD7F33" w14:textId="77777777" w:rsidTr="00162258">
        <w:trPr>
          <w:cantSplit/>
          <w:trHeight w:val="203"/>
        </w:trPr>
        <w:tc>
          <w:tcPr>
            <w:tcW w:w="10328" w:type="dxa"/>
            <w:gridSpan w:val="2"/>
            <w:tcBorders>
              <w:top w:val="single" w:sz="4" w:space="0" w:color="auto"/>
              <w:bottom w:val="single" w:sz="4" w:space="0" w:color="auto"/>
            </w:tcBorders>
          </w:tcPr>
          <w:p w14:paraId="7219610F" w14:textId="77777777" w:rsidR="00242633" w:rsidRPr="001D52A0" w:rsidRDefault="00242633">
            <w:pPr>
              <w:spacing w:after="120"/>
              <w:rPr>
                <w:rFonts w:asciiTheme="minorHAnsi" w:hAnsiTheme="minorHAnsi" w:cs="Arial"/>
                <w:b/>
                <w:sz w:val="22"/>
                <w:szCs w:val="22"/>
              </w:rPr>
            </w:pPr>
          </w:p>
        </w:tc>
      </w:tr>
      <w:tr w:rsidR="00242633" w:rsidRPr="001D52A0" w14:paraId="1C0FABD6" w14:textId="77777777" w:rsidTr="00162258">
        <w:trPr>
          <w:cantSplit/>
          <w:trHeight w:val="6809"/>
        </w:trPr>
        <w:tc>
          <w:tcPr>
            <w:tcW w:w="10328" w:type="dxa"/>
            <w:gridSpan w:val="2"/>
            <w:tcBorders>
              <w:top w:val="single" w:sz="4" w:space="0" w:color="auto"/>
              <w:left w:val="single" w:sz="4" w:space="0" w:color="auto"/>
              <w:bottom w:val="single" w:sz="4" w:space="0" w:color="auto"/>
              <w:right w:val="single" w:sz="4" w:space="0" w:color="auto"/>
            </w:tcBorders>
          </w:tcPr>
          <w:p w14:paraId="64F5A004" w14:textId="77777777" w:rsidR="00242633" w:rsidRPr="001D52A0" w:rsidRDefault="00242633">
            <w:pPr>
              <w:spacing w:before="120" w:after="120"/>
              <w:rPr>
                <w:rFonts w:asciiTheme="minorHAnsi" w:hAnsiTheme="minorHAnsi" w:cs="Arial"/>
                <w:sz w:val="22"/>
                <w:szCs w:val="22"/>
              </w:rPr>
            </w:pPr>
            <w:r w:rsidRPr="001D52A0">
              <w:rPr>
                <w:rFonts w:asciiTheme="minorHAnsi" w:hAnsiTheme="minorHAnsi" w:cs="Arial"/>
                <w:b/>
                <w:sz w:val="22"/>
                <w:szCs w:val="22"/>
              </w:rPr>
              <w:t>RECOMMENDATION</w:t>
            </w:r>
            <w:r w:rsidR="00F909D8" w:rsidRPr="001D52A0">
              <w:rPr>
                <w:rFonts w:asciiTheme="minorHAnsi" w:hAnsiTheme="minorHAnsi" w:cs="Arial"/>
                <w:b/>
                <w:sz w:val="22"/>
                <w:szCs w:val="22"/>
              </w:rPr>
              <w:t>(S)</w:t>
            </w:r>
          </w:p>
          <w:p w14:paraId="3E08A726" w14:textId="77777777" w:rsidR="00C1425C" w:rsidRPr="001D52A0" w:rsidRDefault="005F0B46" w:rsidP="00C1425C">
            <w:pPr>
              <w:pStyle w:val="Header"/>
              <w:tabs>
                <w:tab w:val="clear" w:pos="4153"/>
                <w:tab w:val="clear" w:pos="8306"/>
              </w:tabs>
              <w:spacing w:after="240"/>
              <w:jc w:val="both"/>
              <w:rPr>
                <w:rFonts w:asciiTheme="minorHAnsi" w:hAnsiTheme="minorHAnsi" w:cs="Arial"/>
                <w:sz w:val="22"/>
                <w:szCs w:val="22"/>
                <w:lang w:val="en-GB"/>
              </w:rPr>
            </w:pPr>
            <w:r w:rsidRPr="001D52A0">
              <w:rPr>
                <w:rFonts w:asciiTheme="minorHAnsi" w:hAnsiTheme="minorHAnsi" w:cs="Arial"/>
                <w:sz w:val="22"/>
                <w:szCs w:val="22"/>
                <w:lang w:val="en-GB"/>
              </w:rPr>
              <w:t xml:space="preserve">The Authority </w:t>
            </w:r>
            <w:r w:rsidR="00791D7B" w:rsidRPr="001D52A0">
              <w:rPr>
                <w:rFonts w:asciiTheme="minorHAnsi" w:hAnsiTheme="minorHAnsi" w:cs="Arial"/>
                <w:sz w:val="22"/>
                <w:szCs w:val="22"/>
                <w:lang w:val="en-GB"/>
              </w:rPr>
              <w:t>is asked to:-</w:t>
            </w:r>
          </w:p>
          <w:p w14:paraId="6D0133A5" w14:textId="77777777" w:rsidR="00162258" w:rsidRPr="001D52A0" w:rsidRDefault="00162258" w:rsidP="00162258">
            <w:pPr>
              <w:pStyle w:val="Header"/>
              <w:numPr>
                <w:ilvl w:val="0"/>
                <w:numId w:val="4"/>
              </w:numPr>
              <w:tabs>
                <w:tab w:val="clear" w:pos="4153"/>
                <w:tab w:val="clear" w:pos="8306"/>
              </w:tabs>
              <w:spacing w:after="240"/>
              <w:jc w:val="both"/>
              <w:rPr>
                <w:rFonts w:asciiTheme="minorHAnsi" w:hAnsiTheme="minorHAnsi" w:cs="Arial"/>
                <w:i/>
                <w:sz w:val="22"/>
                <w:szCs w:val="22"/>
                <w:lang w:val="en-GB"/>
              </w:rPr>
            </w:pPr>
            <w:r w:rsidRPr="001D52A0">
              <w:rPr>
                <w:rFonts w:asciiTheme="minorHAnsi" w:hAnsiTheme="minorHAnsi" w:cs="Arial"/>
                <w:sz w:val="22"/>
                <w:szCs w:val="22"/>
                <w:lang w:val="en-GB"/>
              </w:rPr>
              <w:t>Note the 2024/25 budget for consultation</w:t>
            </w:r>
          </w:p>
          <w:p w14:paraId="62272EC9" w14:textId="77777777" w:rsidR="00162258" w:rsidRPr="001D52A0" w:rsidRDefault="00162258" w:rsidP="00162258">
            <w:pPr>
              <w:pStyle w:val="Header"/>
              <w:numPr>
                <w:ilvl w:val="0"/>
                <w:numId w:val="4"/>
              </w:numPr>
              <w:tabs>
                <w:tab w:val="clear" w:pos="4153"/>
                <w:tab w:val="clear" w:pos="8306"/>
              </w:tabs>
              <w:spacing w:after="240"/>
              <w:jc w:val="both"/>
              <w:rPr>
                <w:rFonts w:asciiTheme="minorHAnsi" w:hAnsiTheme="minorHAnsi" w:cs="Arial"/>
                <w:i/>
                <w:sz w:val="22"/>
                <w:szCs w:val="22"/>
                <w:lang w:val="en-GB"/>
              </w:rPr>
            </w:pPr>
            <w:r w:rsidRPr="001D52A0">
              <w:rPr>
                <w:rFonts w:asciiTheme="minorHAnsi" w:hAnsiTheme="minorHAnsi" w:cs="Arial"/>
                <w:sz w:val="22"/>
                <w:szCs w:val="22"/>
                <w:lang w:val="en-GB"/>
              </w:rPr>
              <w:t xml:space="preserve">Note the budget for work to be met from PPP income </w:t>
            </w:r>
          </w:p>
          <w:p w14:paraId="143AB9F3" w14:textId="0FD0AA0F" w:rsidR="00162258" w:rsidRPr="001D52A0" w:rsidRDefault="00162258" w:rsidP="00162258">
            <w:pPr>
              <w:pStyle w:val="Header"/>
              <w:numPr>
                <w:ilvl w:val="0"/>
                <w:numId w:val="4"/>
              </w:numPr>
              <w:tabs>
                <w:tab w:val="clear" w:pos="4153"/>
                <w:tab w:val="clear" w:pos="8306"/>
              </w:tabs>
              <w:spacing w:after="240"/>
              <w:jc w:val="both"/>
              <w:rPr>
                <w:rFonts w:asciiTheme="minorHAnsi" w:hAnsiTheme="minorHAnsi" w:cs="Arial"/>
                <w:i/>
                <w:sz w:val="22"/>
                <w:szCs w:val="22"/>
                <w:lang w:val="en-GB"/>
              </w:rPr>
            </w:pPr>
            <w:r w:rsidRPr="001D52A0">
              <w:rPr>
                <w:rFonts w:asciiTheme="minorHAnsi" w:hAnsiTheme="minorHAnsi" w:cs="Arial"/>
                <w:sz w:val="22"/>
                <w:szCs w:val="22"/>
                <w:lang w:val="en-GB"/>
              </w:rPr>
              <w:t>Note the Pay As You Throw (PAYT) rates in section 15 and the PAYT levy made up of two components totalling of £</w:t>
            </w:r>
            <w:r w:rsidR="00747CD0" w:rsidRPr="001D52A0">
              <w:rPr>
                <w:rFonts w:asciiTheme="minorHAnsi" w:hAnsiTheme="minorHAnsi" w:cs="Arial"/>
                <w:sz w:val="22"/>
                <w:szCs w:val="22"/>
                <w:lang w:val="en-GB"/>
              </w:rPr>
              <w:t>57</w:t>
            </w:r>
            <w:r w:rsidRPr="001D52A0">
              <w:rPr>
                <w:rFonts w:asciiTheme="minorHAnsi" w:hAnsiTheme="minorHAnsi" w:cs="Arial"/>
                <w:sz w:val="22"/>
                <w:szCs w:val="22"/>
                <w:lang w:val="en-GB"/>
              </w:rPr>
              <w:t>.</w:t>
            </w:r>
            <w:r w:rsidR="00747CD0" w:rsidRPr="001D52A0">
              <w:rPr>
                <w:rFonts w:asciiTheme="minorHAnsi" w:hAnsiTheme="minorHAnsi" w:cs="Arial"/>
                <w:sz w:val="22"/>
                <w:szCs w:val="22"/>
                <w:lang w:val="en-GB"/>
              </w:rPr>
              <w:t>4</w:t>
            </w:r>
            <w:r w:rsidRPr="001D52A0">
              <w:rPr>
                <w:rFonts w:asciiTheme="minorHAnsi" w:hAnsiTheme="minorHAnsi" w:cs="Arial"/>
                <w:sz w:val="22"/>
                <w:szCs w:val="22"/>
                <w:lang w:val="en-GB"/>
              </w:rPr>
              <w:t xml:space="preserve"> million</w:t>
            </w:r>
          </w:p>
          <w:p w14:paraId="2BFC6C74" w14:textId="3EC999CC" w:rsidR="00162258" w:rsidRPr="001D52A0" w:rsidRDefault="00162258" w:rsidP="00162258">
            <w:pPr>
              <w:pStyle w:val="Header"/>
              <w:numPr>
                <w:ilvl w:val="0"/>
                <w:numId w:val="4"/>
              </w:numPr>
              <w:tabs>
                <w:tab w:val="clear" w:pos="4153"/>
                <w:tab w:val="clear" w:pos="8306"/>
              </w:tabs>
              <w:spacing w:after="240"/>
              <w:jc w:val="both"/>
              <w:rPr>
                <w:rFonts w:asciiTheme="minorHAnsi" w:hAnsiTheme="minorHAnsi" w:cs="Arial"/>
                <w:i/>
                <w:sz w:val="22"/>
                <w:szCs w:val="22"/>
                <w:lang w:val="en-GB"/>
              </w:rPr>
            </w:pPr>
            <w:r w:rsidRPr="001D52A0">
              <w:rPr>
                <w:rFonts w:asciiTheme="minorHAnsi" w:hAnsiTheme="minorHAnsi" w:cs="Arial"/>
                <w:sz w:val="22"/>
                <w:szCs w:val="22"/>
                <w:lang w:val="en-GB"/>
              </w:rPr>
              <w:t>Note the Fixed Cost Levy (FCL) of £1</w:t>
            </w:r>
            <w:r w:rsidR="00747CD0" w:rsidRPr="001D52A0">
              <w:rPr>
                <w:rFonts w:asciiTheme="minorHAnsi" w:hAnsiTheme="minorHAnsi" w:cs="Arial"/>
                <w:sz w:val="22"/>
                <w:szCs w:val="22"/>
                <w:lang w:val="en-GB"/>
              </w:rPr>
              <w:t>5</w:t>
            </w:r>
            <w:r w:rsidRPr="001D52A0">
              <w:rPr>
                <w:rFonts w:asciiTheme="minorHAnsi" w:hAnsiTheme="minorHAnsi" w:cs="Arial"/>
                <w:sz w:val="22"/>
                <w:szCs w:val="22"/>
                <w:lang w:val="en-GB"/>
              </w:rPr>
              <w:t>.2 million in section 16</w:t>
            </w:r>
          </w:p>
          <w:p w14:paraId="0DD97B6E" w14:textId="77777777" w:rsidR="00162258" w:rsidRPr="001D52A0" w:rsidRDefault="00162258" w:rsidP="00162258">
            <w:pPr>
              <w:pStyle w:val="Header"/>
              <w:numPr>
                <w:ilvl w:val="0"/>
                <w:numId w:val="4"/>
              </w:numPr>
              <w:tabs>
                <w:tab w:val="clear" w:pos="4153"/>
                <w:tab w:val="clear" w:pos="8306"/>
              </w:tabs>
              <w:spacing w:after="240"/>
              <w:jc w:val="both"/>
              <w:rPr>
                <w:rFonts w:asciiTheme="minorHAnsi" w:hAnsiTheme="minorHAnsi" w:cs="Arial"/>
                <w:i/>
                <w:sz w:val="22"/>
                <w:szCs w:val="22"/>
                <w:lang w:val="en-GB"/>
              </w:rPr>
            </w:pPr>
            <w:r w:rsidRPr="001D52A0">
              <w:rPr>
                <w:rFonts w:asciiTheme="minorHAnsi" w:hAnsiTheme="minorHAnsi" w:cs="Arial"/>
                <w:sz w:val="22"/>
                <w:szCs w:val="22"/>
                <w:lang w:val="en-GB"/>
              </w:rPr>
              <w:t>Note the recommended trade and construction prices in section 17 and delegated authority to the Treasurer to change these in year should the need arise</w:t>
            </w:r>
          </w:p>
          <w:p w14:paraId="6B60E3E7" w14:textId="29DA692F" w:rsidR="00162258" w:rsidRPr="00ED3D1D" w:rsidRDefault="00162258" w:rsidP="00162258">
            <w:pPr>
              <w:pStyle w:val="Header"/>
              <w:numPr>
                <w:ilvl w:val="0"/>
                <w:numId w:val="4"/>
              </w:numPr>
              <w:tabs>
                <w:tab w:val="clear" w:pos="4153"/>
                <w:tab w:val="clear" w:pos="8306"/>
              </w:tabs>
              <w:spacing w:after="240"/>
              <w:jc w:val="both"/>
              <w:rPr>
                <w:rFonts w:asciiTheme="minorHAnsi" w:hAnsiTheme="minorHAnsi" w:cs="Arial"/>
                <w:i/>
                <w:sz w:val="22"/>
                <w:szCs w:val="22"/>
                <w:lang w:val="en-GB"/>
              </w:rPr>
            </w:pPr>
            <w:r w:rsidRPr="001D52A0">
              <w:rPr>
                <w:rFonts w:asciiTheme="minorHAnsi" w:hAnsiTheme="minorHAnsi" w:cs="Arial"/>
                <w:sz w:val="22"/>
                <w:szCs w:val="22"/>
                <w:lang w:val="en-GB"/>
              </w:rPr>
              <w:t>Note the new proposed capital budgets in section 18</w:t>
            </w:r>
          </w:p>
          <w:p w14:paraId="3B020977" w14:textId="23C763E5" w:rsidR="00ED3D1D" w:rsidRPr="001D52A0" w:rsidRDefault="00ED3D1D" w:rsidP="00162258">
            <w:pPr>
              <w:pStyle w:val="Header"/>
              <w:numPr>
                <w:ilvl w:val="0"/>
                <w:numId w:val="4"/>
              </w:numPr>
              <w:tabs>
                <w:tab w:val="clear" w:pos="4153"/>
                <w:tab w:val="clear" w:pos="8306"/>
              </w:tabs>
              <w:spacing w:after="240"/>
              <w:jc w:val="both"/>
              <w:rPr>
                <w:rFonts w:asciiTheme="minorHAnsi" w:hAnsiTheme="minorHAnsi" w:cs="Arial"/>
                <w:i/>
                <w:sz w:val="22"/>
                <w:szCs w:val="22"/>
                <w:lang w:val="en-GB"/>
              </w:rPr>
            </w:pPr>
            <w:r>
              <w:rPr>
                <w:rFonts w:asciiTheme="minorHAnsi" w:hAnsiTheme="minorHAnsi" w:cs="Arial"/>
                <w:sz w:val="22"/>
                <w:szCs w:val="22"/>
                <w:lang w:val="en-GB"/>
              </w:rPr>
              <w:t>Approve the spend of £450,000 on containers for the Social Value and Reuse programme</w:t>
            </w:r>
          </w:p>
          <w:p w14:paraId="7F1416EA" w14:textId="4473927F" w:rsidR="00162258" w:rsidRPr="001D52A0" w:rsidRDefault="00162258" w:rsidP="00162258">
            <w:pPr>
              <w:pStyle w:val="Header"/>
              <w:numPr>
                <w:ilvl w:val="0"/>
                <w:numId w:val="4"/>
              </w:numPr>
              <w:tabs>
                <w:tab w:val="clear" w:pos="4153"/>
                <w:tab w:val="clear" w:pos="8306"/>
              </w:tabs>
              <w:spacing w:after="240"/>
              <w:jc w:val="both"/>
              <w:rPr>
                <w:rFonts w:asciiTheme="minorHAnsi" w:hAnsiTheme="minorHAnsi" w:cs="Arial"/>
                <w:i/>
                <w:sz w:val="22"/>
                <w:szCs w:val="22"/>
                <w:lang w:val="en-GB"/>
              </w:rPr>
            </w:pPr>
            <w:r w:rsidRPr="001D52A0">
              <w:rPr>
                <w:rFonts w:asciiTheme="minorHAnsi" w:hAnsiTheme="minorHAnsi" w:cs="Arial"/>
                <w:sz w:val="22"/>
                <w:szCs w:val="22"/>
                <w:lang w:val="en-GB"/>
              </w:rPr>
              <w:t>Note the target level of reserves of £</w:t>
            </w:r>
            <w:r w:rsidR="00EC6A9D" w:rsidRPr="001D52A0">
              <w:rPr>
                <w:rFonts w:asciiTheme="minorHAnsi" w:hAnsiTheme="minorHAnsi" w:cs="Arial"/>
                <w:sz w:val="22"/>
                <w:szCs w:val="22"/>
                <w:lang w:val="en-GB"/>
              </w:rPr>
              <w:t>16.1</w:t>
            </w:r>
            <w:r w:rsidRPr="001D52A0">
              <w:rPr>
                <w:rFonts w:asciiTheme="minorHAnsi" w:hAnsiTheme="minorHAnsi" w:cs="Arial"/>
                <w:sz w:val="22"/>
                <w:szCs w:val="22"/>
                <w:lang w:val="en-GB"/>
              </w:rPr>
              <w:t xml:space="preserve"> million to act as a buffer for managing risks and avoiding supplementary levies, in section 19</w:t>
            </w:r>
          </w:p>
          <w:p w14:paraId="23EED28A" w14:textId="6FBBA4D0" w:rsidR="00162258" w:rsidRPr="001D52A0" w:rsidRDefault="00162258" w:rsidP="000D0765">
            <w:pPr>
              <w:pStyle w:val="Header"/>
              <w:numPr>
                <w:ilvl w:val="0"/>
                <w:numId w:val="4"/>
              </w:numPr>
              <w:tabs>
                <w:tab w:val="clear" w:pos="4153"/>
                <w:tab w:val="clear" w:pos="8306"/>
              </w:tabs>
              <w:spacing w:after="240"/>
              <w:jc w:val="both"/>
              <w:rPr>
                <w:rFonts w:asciiTheme="minorHAnsi" w:hAnsiTheme="minorHAnsi" w:cs="Arial"/>
                <w:i/>
                <w:sz w:val="22"/>
                <w:szCs w:val="22"/>
                <w:lang w:val="en-GB"/>
              </w:rPr>
            </w:pPr>
            <w:r w:rsidRPr="001D52A0">
              <w:rPr>
                <w:rFonts w:asciiTheme="minorHAnsi" w:hAnsiTheme="minorHAnsi" w:cs="Arial"/>
                <w:sz w:val="22"/>
                <w:szCs w:val="22"/>
                <w:lang w:val="en-GB"/>
              </w:rPr>
              <w:t>Note the Medium and Long Term Financial Plan in section 20</w:t>
            </w:r>
          </w:p>
        </w:tc>
      </w:tr>
    </w:tbl>
    <w:p w14:paraId="203FF0F5" w14:textId="77777777" w:rsidR="003F58D5" w:rsidRPr="001D52A0" w:rsidRDefault="00584A0D" w:rsidP="00E21630">
      <w:pPr>
        <w:numPr>
          <w:ilvl w:val="0"/>
          <w:numId w:val="2"/>
        </w:numPr>
        <w:autoSpaceDE w:val="0"/>
        <w:autoSpaceDN w:val="0"/>
        <w:adjustRightInd w:val="0"/>
        <w:spacing w:before="240"/>
        <w:jc w:val="both"/>
        <w:rPr>
          <w:rFonts w:asciiTheme="minorHAnsi" w:hAnsiTheme="minorHAnsi" w:cs="Arial"/>
          <w:sz w:val="22"/>
          <w:szCs w:val="22"/>
          <w:lang w:eastAsia="en-GB"/>
        </w:rPr>
      </w:pPr>
      <w:r w:rsidRPr="001D52A0">
        <w:rPr>
          <w:rFonts w:asciiTheme="minorHAnsi" w:hAnsiTheme="minorHAnsi" w:cs="Arial"/>
          <w:b/>
          <w:sz w:val="22"/>
          <w:szCs w:val="22"/>
          <w:lang w:eastAsia="en-GB"/>
        </w:rPr>
        <w:t>Introduction</w:t>
      </w:r>
    </w:p>
    <w:p w14:paraId="500BB408" w14:textId="77777777" w:rsidR="00E21630" w:rsidRPr="001D52A0" w:rsidRDefault="00E21630" w:rsidP="00E21630">
      <w:pPr>
        <w:autoSpaceDE w:val="0"/>
        <w:autoSpaceDN w:val="0"/>
        <w:adjustRightInd w:val="0"/>
        <w:spacing w:after="120"/>
        <w:ind w:left="170"/>
        <w:jc w:val="both"/>
        <w:rPr>
          <w:rFonts w:asciiTheme="minorHAnsi" w:hAnsiTheme="minorHAnsi" w:cs="Arial"/>
          <w:sz w:val="22"/>
          <w:szCs w:val="22"/>
          <w:lang w:eastAsia="en-GB"/>
        </w:rPr>
      </w:pPr>
    </w:p>
    <w:p w14:paraId="6C066641" w14:textId="77777777" w:rsidR="00771FED" w:rsidRPr="001D52A0" w:rsidRDefault="00771FED" w:rsidP="00771FED">
      <w:pPr>
        <w:numPr>
          <w:ilvl w:val="1"/>
          <w:numId w:val="14"/>
        </w:numPr>
        <w:autoSpaceDE w:val="0"/>
        <w:autoSpaceDN w:val="0"/>
        <w:adjustRightInd w:val="0"/>
        <w:spacing w:after="120"/>
        <w:jc w:val="both"/>
        <w:rPr>
          <w:rFonts w:asciiTheme="minorHAnsi" w:hAnsiTheme="minorHAnsi" w:cs="Arial"/>
          <w:sz w:val="22"/>
          <w:szCs w:val="22"/>
          <w:lang w:eastAsia="en-GB"/>
        </w:rPr>
      </w:pPr>
      <w:r w:rsidRPr="001D52A0">
        <w:rPr>
          <w:rFonts w:asciiTheme="minorHAnsi" w:hAnsiTheme="minorHAnsi" w:cs="Arial"/>
          <w:sz w:val="22"/>
          <w:szCs w:val="22"/>
          <w:lang w:eastAsia="en-GB"/>
        </w:rPr>
        <w:t xml:space="preserve">The Authority is required to set an annual budget including levies and charges. This report sets out the 2024/25 draft budget which will be subject to consultation with constituent boroughs. Following consultation, the final budget will be reported to the January Authority meeting for approval. The PAYT and FCL charges will then be levied. </w:t>
      </w:r>
    </w:p>
    <w:p w14:paraId="4C8DB32A" w14:textId="77777777" w:rsidR="00771FED" w:rsidRPr="001D52A0" w:rsidRDefault="00771FED" w:rsidP="00771FED">
      <w:pPr>
        <w:numPr>
          <w:ilvl w:val="1"/>
          <w:numId w:val="14"/>
        </w:numPr>
        <w:autoSpaceDE w:val="0"/>
        <w:autoSpaceDN w:val="0"/>
        <w:adjustRightInd w:val="0"/>
        <w:spacing w:after="120"/>
        <w:jc w:val="both"/>
        <w:rPr>
          <w:rFonts w:asciiTheme="minorHAnsi" w:hAnsiTheme="minorHAnsi" w:cs="Arial"/>
          <w:sz w:val="22"/>
          <w:szCs w:val="22"/>
          <w:lang w:eastAsia="en-GB"/>
        </w:rPr>
      </w:pPr>
      <w:r w:rsidRPr="001D52A0">
        <w:rPr>
          <w:rFonts w:asciiTheme="minorHAnsi" w:hAnsiTheme="minorHAnsi" w:cs="Arial"/>
          <w:sz w:val="22"/>
          <w:szCs w:val="22"/>
          <w:lang w:eastAsia="en-GB"/>
        </w:rPr>
        <w:lastRenderedPageBreak/>
        <w:t>The budget incorporates tonnage forecasts received from boroughs and the spending plans received from Authority managers which include delivery of business plan objectives. The draft budget has been scrutinised and adjusted following a budget challenge session with the Chair, Vice Chair and Chief Officers on 9 November</w:t>
      </w:r>
      <w:r w:rsidR="006C1807" w:rsidRPr="001D52A0">
        <w:rPr>
          <w:rFonts w:asciiTheme="minorHAnsi" w:hAnsiTheme="minorHAnsi" w:cs="Arial"/>
          <w:sz w:val="22"/>
          <w:szCs w:val="22"/>
          <w:lang w:eastAsia="en-GB"/>
        </w:rPr>
        <w:t xml:space="preserve"> 2023</w:t>
      </w:r>
      <w:r w:rsidRPr="001D52A0">
        <w:rPr>
          <w:rFonts w:asciiTheme="minorHAnsi" w:hAnsiTheme="minorHAnsi" w:cs="Arial"/>
          <w:sz w:val="22"/>
          <w:szCs w:val="22"/>
          <w:lang w:eastAsia="en-GB"/>
        </w:rPr>
        <w:t xml:space="preserve">. </w:t>
      </w:r>
    </w:p>
    <w:p w14:paraId="731F2D4B" w14:textId="193FFF46" w:rsidR="00771FED" w:rsidRPr="001D52A0" w:rsidRDefault="00771FED" w:rsidP="00771FED">
      <w:pPr>
        <w:numPr>
          <w:ilvl w:val="1"/>
          <w:numId w:val="14"/>
        </w:numPr>
        <w:autoSpaceDE w:val="0"/>
        <w:autoSpaceDN w:val="0"/>
        <w:adjustRightInd w:val="0"/>
        <w:spacing w:after="120"/>
        <w:jc w:val="both"/>
        <w:rPr>
          <w:rFonts w:asciiTheme="minorHAnsi" w:hAnsiTheme="minorHAnsi" w:cs="Arial"/>
          <w:sz w:val="22"/>
          <w:szCs w:val="22"/>
          <w:lang w:eastAsia="en-GB"/>
        </w:rPr>
      </w:pPr>
      <w:r w:rsidRPr="001D52A0">
        <w:rPr>
          <w:rFonts w:asciiTheme="minorHAnsi" w:hAnsiTheme="minorHAnsi" w:cs="Arial"/>
          <w:sz w:val="22"/>
          <w:szCs w:val="22"/>
          <w:lang w:eastAsia="en-GB"/>
        </w:rPr>
        <w:t xml:space="preserve">The report </w:t>
      </w:r>
      <w:r w:rsidR="00747CD0" w:rsidRPr="001D52A0">
        <w:rPr>
          <w:rFonts w:asciiTheme="minorHAnsi" w:hAnsiTheme="minorHAnsi" w:cs="Arial"/>
          <w:sz w:val="22"/>
          <w:szCs w:val="22"/>
          <w:lang w:eastAsia="en-GB"/>
        </w:rPr>
        <w:t>will also be</w:t>
      </w:r>
      <w:r w:rsidRPr="001D52A0">
        <w:rPr>
          <w:rFonts w:asciiTheme="minorHAnsi" w:hAnsiTheme="minorHAnsi" w:cs="Arial"/>
          <w:sz w:val="22"/>
          <w:szCs w:val="22"/>
          <w:lang w:eastAsia="en-GB"/>
        </w:rPr>
        <w:t xml:space="preserve"> shared and discussed with borough Environment Directors and Finance Directors.</w:t>
      </w:r>
    </w:p>
    <w:p w14:paraId="10165C8D" w14:textId="77777777" w:rsidR="00664E6A" w:rsidRPr="001D52A0" w:rsidRDefault="00664E6A" w:rsidP="00664E6A">
      <w:pPr>
        <w:pStyle w:val="ListParagraph"/>
        <w:autoSpaceDE w:val="0"/>
        <w:autoSpaceDN w:val="0"/>
        <w:adjustRightInd w:val="0"/>
        <w:spacing w:after="120"/>
        <w:ind w:left="170"/>
        <w:jc w:val="both"/>
        <w:rPr>
          <w:rFonts w:asciiTheme="minorHAnsi" w:hAnsiTheme="minorHAnsi"/>
          <w:lang w:eastAsia="en-GB"/>
        </w:rPr>
      </w:pPr>
    </w:p>
    <w:p w14:paraId="0E198AB0" w14:textId="694C3CD7" w:rsidR="009C1FB7" w:rsidRPr="00857806" w:rsidRDefault="00D75878" w:rsidP="00771FED">
      <w:pPr>
        <w:pStyle w:val="ListParagraph"/>
        <w:numPr>
          <w:ilvl w:val="0"/>
          <w:numId w:val="2"/>
        </w:numPr>
        <w:autoSpaceDE w:val="0"/>
        <w:autoSpaceDN w:val="0"/>
        <w:adjustRightInd w:val="0"/>
        <w:spacing w:after="120"/>
        <w:jc w:val="both"/>
        <w:rPr>
          <w:rFonts w:asciiTheme="minorHAnsi" w:hAnsiTheme="minorHAnsi"/>
          <w:lang w:eastAsia="en-GB"/>
        </w:rPr>
      </w:pPr>
      <w:r w:rsidRPr="001D52A0">
        <w:rPr>
          <w:rFonts w:asciiTheme="minorHAnsi" w:hAnsiTheme="minorHAnsi"/>
          <w:b/>
          <w:lang w:eastAsia="en-GB"/>
        </w:rPr>
        <w:t>Executive Summary</w:t>
      </w:r>
    </w:p>
    <w:p w14:paraId="2CC6E7D6" w14:textId="77777777" w:rsidR="00857806" w:rsidRPr="00857806" w:rsidRDefault="00857806" w:rsidP="00857806">
      <w:pPr>
        <w:pStyle w:val="ListParagraph"/>
        <w:autoSpaceDE w:val="0"/>
        <w:autoSpaceDN w:val="0"/>
        <w:adjustRightInd w:val="0"/>
        <w:spacing w:after="120"/>
        <w:ind w:left="170"/>
        <w:jc w:val="both"/>
        <w:rPr>
          <w:rFonts w:asciiTheme="minorHAnsi" w:hAnsiTheme="minorHAnsi"/>
          <w:lang w:eastAsia="en-GB"/>
        </w:rPr>
      </w:pPr>
    </w:p>
    <w:p w14:paraId="28694F9F" w14:textId="6B204241" w:rsidR="00857806" w:rsidRDefault="00832A99" w:rsidP="00857806">
      <w:pPr>
        <w:pStyle w:val="ListParagraph"/>
        <w:numPr>
          <w:ilvl w:val="1"/>
          <w:numId w:val="39"/>
        </w:numPr>
        <w:autoSpaceDE w:val="0"/>
        <w:autoSpaceDN w:val="0"/>
        <w:adjustRightInd w:val="0"/>
        <w:spacing w:before="240" w:after="120" w:line="240" w:lineRule="auto"/>
        <w:jc w:val="both"/>
        <w:rPr>
          <w:rFonts w:asciiTheme="minorHAnsi" w:hAnsiTheme="minorHAnsi"/>
          <w:lang w:eastAsia="en-GB"/>
        </w:rPr>
      </w:pPr>
      <w:r w:rsidRPr="00857806">
        <w:rPr>
          <w:rFonts w:asciiTheme="minorHAnsi" w:hAnsiTheme="minorHAnsi"/>
          <w:lang w:eastAsia="en-GB"/>
        </w:rPr>
        <w:t>T</w:t>
      </w:r>
      <w:r w:rsidR="00182E46" w:rsidRPr="00857806">
        <w:rPr>
          <w:rFonts w:asciiTheme="minorHAnsi" w:hAnsiTheme="minorHAnsi"/>
          <w:lang w:eastAsia="en-GB"/>
        </w:rPr>
        <w:t>his year amidst the continued</w:t>
      </w:r>
      <w:r w:rsidRPr="00857806">
        <w:rPr>
          <w:rFonts w:asciiTheme="minorHAnsi" w:hAnsiTheme="minorHAnsi"/>
          <w:lang w:eastAsia="en-GB"/>
        </w:rPr>
        <w:t xml:space="preserve"> economic uncertainty and financial challenge, the </w:t>
      </w:r>
      <w:r w:rsidR="000004D9" w:rsidRPr="00857806">
        <w:rPr>
          <w:rFonts w:asciiTheme="minorHAnsi" w:hAnsiTheme="minorHAnsi"/>
          <w:lang w:eastAsia="en-GB"/>
        </w:rPr>
        <w:t>2024/25</w:t>
      </w:r>
      <w:r w:rsidRPr="00857806">
        <w:rPr>
          <w:rFonts w:asciiTheme="minorHAnsi" w:hAnsiTheme="minorHAnsi"/>
          <w:lang w:eastAsia="en-GB"/>
        </w:rPr>
        <w:t xml:space="preserve"> budget proposal </w:t>
      </w:r>
      <w:r w:rsidR="007D7C54" w:rsidRPr="00857806">
        <w:rPr>
          <w:rFonts w:asciiTheme="minorHAnsi" w:hAnsiTheme="minorHAnsi"/>
          <w:lang w:eastAsia="en-GB"/>
        </w:rPr>
        <w:t>continues to aim</w:t>
      </w:r>
      <w:r w:rsidR="00182E46" w:rsidRPr="00857806">
        <w:rPr>
          <w:rFonts w:asciiTheme="minorHAnsi" w:hAnsiTheme="minorHAnsi"/>
          <w:lang w:eastAsia="en-GB"/>
        </w:rPr>
        <w:t xml:space="preserve"> to provide </w:t>
      </w:r>
      <w:r w:rsidRPr="00857806">
        <w:rPr>
          <w:rFonts w:asciiTheme="minorHAnsi" w:hAnsiTheme="minorHAnsi"/>
          <w:lang w:eastAsia="en-GB"/>
        </w:rPr>
        <w:t xml:space="preserve">boroughs with greater stability and better predictability (a key </w:t>
      </w:r>
      <w:r w:rsidR="00095EF7" w:rsidRPr="00857806">
        <w:rPr>
          <w:rFonts w:asciiTheme="minorHAnsi" w:hAnsiTheme="minorHAnsi"/>
          <w:lang w:eastAsia="en-GB"/>
        </w:rPr>
        <w:t xml:space="preserve">theme </w:t>
      </w:r>
      <w:r w:rsidRPr="00857806">
        <w:rPr>
          <w:rFonts w:asciiTheme="minorHAnsi" w:hAnsiTheme="minorHAnsi"/>
          <w:lang w:eastAsia="en-GB"/>
        </w:rPr>
        <w:t>identified in the Finance Strategy)</w:t>
      </w:r>
      <w:r w:rsidR="00F523B6" w:rsidRPr="00857806">
        <w:rPr>
          <w:rFonts w:asciiTheme="minorHAnsi" w:hAnsiTheme="minorHAnsi"/>
          <w:lang w:eastAsia="en-GB"/>
        </w:rPr>
        <w:t>.</w:t>
      </w:r>
    </w:p>
    <w:p w14:paraId="4F9A99FE" w14:textId="77777777" w:rsidR="00857806" w:rsidRDefault="00857806" w:rsidP="00857806">
      <w:pPr>
        <w:pStyle w:val="ListParagraph"/>
        <w:autoSpaceDE w:val="0"/>
        <w:autoSpaceDN w:val="0"/>
        <w:adjustRightInd w:val="0"/>
        <w:spacing w:before="240" w:after="120" w:line="240" w:lineRule="auto"/>
        <w:ind w:left="360"/>
        <w:jc w:val="both"/>
        <w:rPr>
          <w:rFonts w:asciiTheme="minorHAnsi" w:hAnsiTheme="minorHAnsi"/>
          <w:lang w:eastAsia="en-GB"/>
        </w:rPr>
      </w:pPr>
    </w:p>
    <w:p w14:paraId="023A73B0" w14:textId="4F73CC16" w:rsidR="002F3ED5" w:rsidRPr="00857806" w:rsidRDefault="006E174A" w:rsidP="00857806">
      <w:pPr>
        <w:pStyle w:val="ListParagraph"/>
        <w:numPr>
          <w:ilvl w:val="1"/>
          <w:numId w:val="39"/>
        </w:numPr>
        <w:autoSpaceDE w:val="0"/>
        <w:autoSpaceDN w:val="0"/>
        <w:adjustRightInd w:val="0"/>
        <w:spacing w:before="240" w:after="120" w:line="240" w:lineRule="auto"/>
        <w:jc w:val="both"/>
        <w:rPr>
          <w:rFonts w:asciiTheme="minorHAnsi" w:hAnsiTheme="minorHAnsi"/>
          <w:lang w:eastAsia="en-GB"/>
        </w:rPr>
      </w:pPr>
      <w:r w:rsidRPr="00857806">
        <w:rPr>
          <w:rFonts w:asciiTheme="minorHAnsi" w:hAnsiTheme="minorHAnsi"/>
          <w:lang w:eastAsia="en-GB"/>
        </w:rPr>
        <w:t>The levies for the Authority to be passed through to boroughs has increased by £5.5 million, a growth of 8% from 2023/24.  In context, the increase is summarised in the below table</w:t>
      </w:r>
      <w:r w:rsidR="002F3ED5" w:rsidRPr="00857806">
        <w:rPr>
          <w:rFonts w:asciiTheme="minorHAnsi" w:hAnsiTheme="minorHAnsi"/>
          <w:lang w:eastAsia="en-GB"/>
        </w:rPr>
        <w:t xml:space="preserve"> and a detailed description </w:t>
      </w:r>
      <w:r w:rsidRPr="00857806">
        <w:rPr>
          <w:rFonts w:asciiTheme="minorHAnsi" w:hAnsiTheme="minorHAnsi"/>
          <w:lang w:eastAsia="en-GB"/>
        </w:rPr>
        <w:t xml:space="preserve">follows.  </w:t>
      </w:r>
    </w:p>
    <w:tbl>
      <w:tblPr>
        <w:tblStyle w:val="TableGrid"/>
        <w:tblW w:w="0" w:type="auto"/>
        <w:tblLook w:val="04A0" w:firstRow="1" w:lastRow="0" w:firstColumn="1" w:lastColumn="0" w:noHBand="0" w:noVBand="1"/>
      </w:tblPr>
      <w:tblGrid>
        <w:gridCol w:w="6374"/>
        <w:gridCol w:w="3402"/>
      </w:tblGrid>
      <w:tr w:rsidR="002F3ED5" w:rsidRPr="001D52A0" w14:paraId="7DC8D716" w14:textId="77777777" w:rsidTr="00D07C7F">
        <w:trPr>
          <w:trHeight w:val="300"/>
        </w:trPr>
        <w:tc>
          <w:tcPr>
            <w:tcW w:w="6374" w:type="dxa"/>
            <w:noWrap/>
            <w:hideMark/>
          </w:tcPr>
          <w:p w14:paraId="43DB0357" w14:textId="77777777" w:rsidR="002F3ED5" w:rsidRPr="001D52A0" w:rsidRDefault="002F3ED5" w:rsidP="00D07C7F">
            <w:pPr>
              <w:autoSpaceDE w:val="0"/>
              <w:autoSpaceDN w:val="0"/>
              <w:adjustRightInd w:val="0"/>
              <w:ind w:left="357"/>
              <w:contextualSpacing/>
              <w:jc w:val="both"/>
              <w:rPr>
                <w:rFonts w:asciiTheme="minorHAnsi" w:hAnsiTheme="minorHAnsi" w:cs="Arial"/>
                <w:b/>
                <w:bCs/>
                <w:sz w:val="22"/>
                <w:szCs w:val="22"/>
                <w:u w:val="single"/>
                <w:lang w:eastAsia="en-GB"/>
              </w:rPr>
            </w:pPr>
            <w:r w:rsidRPr="001D52A0">
              <w:rPr>
                <w:rFonts w:asciiTheme="minorHAnsi" w:hAnsiTheme="minorHAnsi" w:cs="Arial"/>
                <w:b/>
                <w:bCs/>
                <w:sz w:val="22"/>
                <w:szCs w:val="22"/>
                <w:u w:val="single"/>
                <w:lang w:eastAsia="en-GB"/>
              </w:rPr>
              <w:t>Total increase in levies</w:t>
            </w:r>
          </w:p>
        </w:tc>
        <w:tc>
          <w:tcPr>
            <w:tcW w:w="3402" w:type="dxa"/>
            <w:noWrap/>
            <w:hideMark/>
          </w:tcPr>
          <w:p w14:paraId="441BE910" w14:textId="77777777" w:rsidR="002F3ED5" w:rsidRPr="001D52A0" w:rsidRDefault="002F3ED5" w:rsidP="00D07C7F">
            <w:pPr>
              <w:autoSpaceDE w:val="0"/>
              <w:autoSpaceDN w:val="0"/>
              <w:adjustRightInd w:val="0"/>
              <w:ind w:left="357"/>
              <w:contextualSpacing/>
              <w:jc w:val="both"/>
              <w:rPr>
                <w:rFonts w:asciiTheme="minorHAnsi" w:hAnsiTheme="minorHAnsi" w:cs="Arial"/>
                <w:b/>
                <w:bCs/>
                <w:sz w:val="22"/>
                <w:szCs w:val="22"/>
                <w:u w:val="single"/>
                <w:lang w:eastAsia="en-GB"/>
              </w:rPr>
            </w:pPr>
            <w:r w:rsidRPr="001D52A0">
              <w:rPr>
                <w:rFonts w:asciiTheme="minorHAnsi" w:hAnsiTheme="minorHAnsi" w:cs="Arial"/>
                <w:b/>
                <w:bCs/>
                <w:sz w:val="22"/>
                <w:szCs w:val="22"/>
                <w:u w:val="single"/>
                <w:lang w:eastAsia="en-GB"/>
              </w:rPr>
              <w:t>£'000</w:t>
            </w:r>
          </w:p>
        </w:tc>
      </w:tr>
      <w:tr w:rsidR="002F3ED5" w:rsidRPr="001D52A0" w14:paraId="326F5608" w14:textId="77777777" w:rsidTr="00D07C7F">
        <w:trPr>
          <w:trHeight w:val="300"/>
        </w:trPr>
        <w:tc>
          <w:tcPr>
            <w:tcW w:w="6374" w:type="dxa"/>
            <w:noWrap/>
            <w:hideMark/>
          </w:tcPr>
          <w:p w14:paraId="1CF063C0" w14:textId="77777777" w:rsidR="002F3ED5" w:rsidRPr="001D52A0" w:rsidRDefault="002F3ED5" w:rsidP="00D07C7F">
            <w:pPr>
              <w:autoSpaceDE w:val="0"/>
              <w:autoSpaceDN w:val="0"/>
              <w:adjustRightInd w:val="0"/>
              <w:ind w:left="357"/>
              <w:contextualSpacing/>
              <w:jc w:val="both"/>
              <w:rPr>
                <w:rFonts w:asciiTheme="minorHAnsi" w:hAnsiTheme="minorHAnsi" w:cs="Arial"/>
                <w:sz w:val="22"/>
                <w:szCs w:val="22"/>
                <w:lang w:eastAsia="en-GB"/>
              </w:rPr>
            </w:pPr>
            <w:r w:rsidRPr="001D52A0">
              <w:rPr>
                <w:rFonts w:asciiTheme="minorHAnsi" w:hAnsiTheme="minorHAnsi" w:cs="Arial"/>
                <w:sz w:val="22"/>
                <w:szCs w:val="22"/>
                <w:lang w:eastAsia="en-GB"/>
              </w:rPr>
              <w:t>Tonnage increase</w:t>
            </w:r>
          </w:p>
        </w:tc>
        <w:tc>
          <w:tcPr>
            <w:tcW w:w="3402" w:type="dxa"/>
            <w:noWrap/>
            <w:hideMark/>
          </w:tcPr>
          <w:p w14:paraId="4D2F80DC" w14:textId="77777777" w:rsidR="002F3ED5" w:rsidRPr="001D52A0" w:rsidRDefault="002F3ED5" w:rsidP="00D07C7F">
            <w:pPr>
              <w:autoSpaceDE w:val="0"/>
              <w:autoSpaceDN w:val="0"/>
              <w:adjustRightInd w:val="0"/>
              <w:ind w:left="357"/>
              <w:contextualSpacing/>
              <w:jc w:val="both"/>
              <w:rPr>
                <w:rFonts w:asciiTheme="minorHAnsi" w:hAnsiTheme="minorHAnsi" w:cs="Arial"/>
                <w:sz w:val="22"/>
                <w:szCs w:val="22"/>
                <w:lang w:eastAsia="en-GB"/>
              </w:rPr>
            </w:pPr>
            <w:r w:rsidRPr="001D52A0">
              <w:rPr>
                <w:rFonts w:asciiTheme="minorHAnsi" w:hAnsiTheme="minorHAnsi" w:cs="Arial"/>
                <w:sz w:val="22"/>
                <w:szCs w:val="22"/>
                <w:lang w:eastAsia="en-GB"/>
              </w:rPr>
              <w:t>1,512</w:t>
            </w:r>
          </w:p>
        </w:tc>
      </w:tr>
      <w:tr w:rsidR="002F3ED5" w:rsidRPr="001D52A0" w14:paraId="0DF1081F" w14:textId="77777777" w:rsidTr="00D07C7F">
        <w:trPr>
          <w:trHeight w:val="300"/>
        </w:trPr>
        <w:tc>
          <w:tcPr>
            <w:tcW w:w="6374" w:type="dxa"/>
            <w:noWrap/>
            <w:hideMark/>
          </w:tcPr>
          <w:p w14:paraId="74445023" w14:textId="77777777" w:rsidR="002F3ED5" w:rsidRPr="001D52A0" w:rsidRDefault="002F3ED5" w:rsidP="00D07C7F">
            <w:pPr>
              <w:autoSpaceDE w:val="0"/>
              <w:autoSpaceDN w:val="0"/>
              <w:adjustRightInd w:val="0"/>
              <w:ind w:left="357"/>
              <w:contextualSpacing/>
              <w:jc w:val="both"/>
              <w:rPr>
                <w:rFonts w:asciiTheme="minorHAnsi" w:hAnsiTheme="minorHAnsi" w:cs="Arial"/>
                <w:sz w:val="22"/>
                <w:szCs w:val="22"/>
                <w:lang w:eastAsia="en-GB"/>
              </w:rPr>
            </w:pPr>
            <w:r w:rsidRPr="001D52A0">
              <w:rPr>
                <w:rFonts w:asciiTheme="minorHAnsi" w:hAnsiTheme="minorHAnsi" w:cs="Arial"/>
                <w:sz w:val="22"/>
                <w:szCs w:val="22"/>
                <w:lang w:eastAsia="en-GB"/>
              </w:rPr>
              <w:t>WTD Inflation</w:t>
            </w:r>
          </w:p>
        </w:tc>
        <w:tc>
          <w:tcPr>
            <w:tcW w:w="3402" w:type="dxa"/>
            <w:noWrap/>
            <w:hideMark/>
          </w:tcPr>
          <w:p w14:paraId="7BC349BE" w14:textId="77777777" w:rsidR="002F3ED5" w:rsidRPr="001D52A0" w:rsidRDefault="002F3ED5" w:rsidP="00D07C7F">
            <w:pPr>
              <w:autoSpaceDE w:val="0"/>
              <w:autoSpaceDN w:val="0"/>
              <w:adjustRightInd w:val="0"/>
              <w:ind w:left="357"/>
              <w:contextualSpacing/>
              <w:jc w:val="both"/>
              <w:rPr>
                <w:rFonts w:asciiTheme="minorHAnsi" w:hAnsiTheme="minorHAnsi" w:cs="Arial"/>
                <w:sz w:val="22"/>
                <w:szCs w:val="22"/>
                <w:lang w:eastAsia="en-GB"/>
              </w:rPr>
            </w:pPr>
            <w:r w:rsidRPr="001D52A0">
              <w:rPr>
                <w:rFonts w:asciiTheme="minorHAnsi" w:hAnsiTheme="minorHAnsi" w:cs="Arial"/>
                <w:sz w:val="22"/>
                <w:szCs w:val="22"/>
                <w:lang w:eastAsia="en-GB"/>
              </w:rPr>
              <w:t>1,353</w:t>
            </w:r>
          </w:p>
        </w:tc>
      </w:tr>
      <w:tr w:rsidR="002F3ED5" w:rsidRPr="001D52A0" w14:paraId="45ED478A" w14:textId="77777777" w:rsidTr="00D07C7F">
        <w:trPr>
          <w:trHeight w:val="300"/>
        </w:trPr>
        <w:tc>
          <w:tcPr>
            <w:tcW w:w="6374" w:type="dxa"/>
            <w:noWrap/>
            <w:hideMark/>
          </w:tcPr>
          <w:p w14:paraId="72D137BE" w14:textId="77777777" w:rsidR="002F3ED5" w:rsidRPr="001D52A0" w:rsidRDefault="002F3ED5" w:rsidP="00D07C7F">
            <w:pPr>
              <w:autoSpaceDE w:val="0"/>
              <w:autoSpaceDN w:val="0"/>
              <w:adjustRightInd w:val="0"/>
              <w:ind w:left="357"/>
              <w:contextualSpacing/>
              <w:jc w:val="both"/>
              <w:rPr>
                <w:rFonts w:asciiTheme="minorHAnsi" w:hAnsiTheme="minorHAnsi" w:cs="Arial"/>
                <w:sz w:val="22"/>
                <w:szCs w:val="22"/>
                <w:lang w:eastAsia="en-GB"/>
              </w:rPr>
            </w:pPr>
            <w:r w:rsidRPr="001D52A0">
              <w:rPr>
                <w:rFonts w:asciiTheme="minorHAnsi" w:hAnsiTheme="minorHAnsi" w:cs="Arial"/>
                <w:sz w:val="22"/>
                <w:szCs w:val="22"/>
                <w:lang w:eastAsia="en-GB"/>
              </w:rPr>
              <w:t>General inflation</w:t>
            </w:r>
          </w:p>
        </w:tc>
        <w:tc>
          <w:tcPr>
            <w:tcW w:w="3402" w:type="dxa"/>
            <w:noWrap/>
            <w:hideMark/>
          </w:tcPr>
          <w:p w14:paraId="5F5473D9" w14:textId="77777777" w:rsidR="002F3ED5" w:rsidRPr="001D52A0" w:rsidRDefault="002F3ED5" w:rsidP="00D07C7F">
            <w:pPr>
              <w:autoSpaceDE w:val="0"/>
              <w:autoSpaceDN w:val="0"/>
              <w:adjustRightInd w:val="0"/>
              <w:ind w:left="357"/>
              <w:contextualSpacing/>
              <w:jc w:val="both"/>
              <w:rPr>
                <w:rFonts w:asciiTheme="minorHAnsi" w:hAnsiTheme="minorHAnsi" w:cs="Arial"/>
                <w:sz w:val="22"/>
                <w:szCs w:val="22"/>
                <w:lang w:eastAsia="en-GB"/>
              </w:rPr>
            </w:pPr>
            <w:r w:rsidRPr="001D52A0">
              <w:rPr>
                <w:rFonts w:asciiTheme="minorHAnsi" w:hAnsiTheme="minorHAnsi" w:cs="Arial"/>
                <w:sz w:val="22"/>
                <w:szCs w:val="22"/>
                <w:lang w:eastAsia="en-GB"/>
              </w:rPr>
              <w:t>150</w:t>
            </w:r>
          </w:p>
        </w:tc>
      </w:tr>
      <w:tr w:rsidR="002F3ED5" w:rsidRPr="001D52A0" w14:paraId="68BEF39C" w14:textId="77777777" w:rsidTr="00D07C7F">
        <w:trPr>
          <w:trHeight w:val="300"/>
        </w:trPr>
        <w:tc>
          <w:tcPr>
            <w:tcW w:w="6374" w:type="dxa"/>
            <w:noWrap/>
            <w:hideMark/>
          </w:tcPr>
          <w:p w14:paraId="3ADE4EB4" w14:textId="77777777" w:rsidR="002F3ED5" w:rsidRPr="001D52A0" w:rsidRDefault="002F3ED5" w:rsidP="00D07C7F">
            <w:pPr>
              <w:autoSpaceDE w:val="0"/>
              <w:autoSpaceDN w:val="0"/>
              <w:adjustRightInd w:val="0"/>
              <w:ind w:left="357"/>
              <w:contextualSpacing/>
              <w:jc w:val="both"/>
              <w:rPr>
                <w:rFonts w:asciiTheme="minorHAnsi" w:hAnsiTheme="minorHAnsi" w:cs="Arial"/>
                <w:sz w:val="22"/>
                <w:szCs w:val="22"/>
                <w:lang w:eastAsia="en-GB"/>
              </w:rPr>
            </w:pPr>
            <w:r w:rsidRPr="001D52A0">
              <w:rPr>
                <w:rFonts w:asciiTheme="minorHAnsi" w:hAnsiTheme="minorHAnsi" w:cs="Arial"/>
                <w:sz w:val="22"/>
                <w:szCs w:val="22"/>
                <w:lang w:eastAsia="en-GB"/>
              </w:rPr>
              <w:t>Insurance</w:t>
            </w:r>
          </w:p>
        </w:tc>
        <w:tc>
          <w:tcPr>
            <w:tcW w:w="3402" w:type="dxa"/>
            <w:noWrap/>
            <w:hideMark/>
          </w:tcPr>
          <w:p w14:paraId="7D7E137F" w14:textId="77777777" w:rsidR="002F3ED5" w:rsidRPr="001D52A0" w:rsidRDefault="002F3ED5" w:rsidP="00D07C7F">
            <w:pPr>
              <w:autoSpaceDE w:val="0"/>
              <w:autoSpaceDN w:val="0"/>
              <w:adjustRightInd w:val="0"/>
              <w:ind w:left="357"/>
              <w:contextualSpacing/>
              <w:jc w:val="both"/>
              <w:rPr>
                <w:rFonts w:asciiTheme="minorHAnsi" w:hAnsiTheme="minorHAnsi" w:cs="Arial"/>
                <w:sz w:val="22"/>
                <w:szCs w:val="22"/>
                <w:lang w:eastAsia="en-GB"/>
              </w:rPr>
            </w:pPr>
            <w:r w:rsidRPr="001D52A0">
              <w:rPr>
                <w:rFonts w:asciiTheme="minorHAnsi" w:hAnsiTheme="minorHAnsi" w:cs="Arial"/>
                <w:sz w:val="22"/>
                <w:szCs w:val="22"/>
                <w:lang w:eastAsia="en-GB"/>
              </w:rPr>
              <w:t>1,200</w:t>
            </w:r>
          </w:p>
        </w:tc>
      </w:tr>
      <w:tr w:rsidR="002F3ED5" w:rsidRPr="001D52A0" w14:paraId="2196BBDC" w14:textId="77777777" w:rsidTr="00D07C7F">
        <w:trPr>
          <w:trHeight w:val="300"/>
        </w:trPr>
        <w:tc>
          <w:tcPr>
            <w:tcW w:w="6374" w:type="dxa"/>
            <w:noWrap/>
            <w:hideMark/>
          </w:tcPr>
          <w:p w14:paraId="009486E9" w14:textId="77777777" w:rsidR="002F3ED5" w:rsidRPr="001D52A0" w:rsidRDefault="002F3ED5" w:rsidP="00D07C7F">
            <w:pPr>
              <w:autoSpaceDE w:val="0"/>
              <w:autoSpaceDN w:val="0"/>
              <w:adjustRightInd w:val="0"/>
              <w:ind w:left="357"/>
              <w:contextualSpacing/>
              <w:jc w:val="both"/>
              <w:rPr>
                <w:rFonts w:asciiTheme="minorHAnsi" w:hAnsiTheme="minorHAnsi" w:cs="Arial"/>
                <w:sz w:val="22"/>
                <w:szCs w:val="22"/>
                <w:lang w:eastAsia="en-GB"/>
              </w:rPr>
            </w:pPr>
            <w:r w:rsidRPr="001D52A0">
              <w:rPr>
                <w:rFonts w:asciiTheme="minorHAnsi" w:hAnsiTheme="minorHAnsi" w:cs="Arial"/>
                <w:sz w:val="22"/>
                <w:szCs w:val="22"/>
                <w:lang w:eastAsia="en-GB"/>
              </w:rPr>
              <w:t>Lakeside - variance to prior year budget and forecast</w:t>
            </w:r>
          </w:p>
        </w:tc>
        <w:tc>
          <w:tcPr>
            <w:tcW w:w="3402" w:type="dxa"/>
            <w:noWrap/>
            <w:hideMark/>
          </w:tcPr>
          <w:p w14:paraId="5D0846F3" w14:textId="77777777" w:rsidR="002F3ED5" w:rsidRPr="001D52A0" w:rsidRDefault="002F3ED5" w:rsidP="00D07C7F">
            <w:pPr>
              <w:autoSpaceDE w:val="0"/>
              <w:autoSpaceDN w:val="0"/>
              <w:adjustRightInd w:val="0"/>
              <w:ind w:left="357"/>
              <w:contextualSpacing/>
              <w:jc w:val="both"/>
              <w:rPr>
                <w:rFonts w:asciiTheme="minorHAnsi" w:hAnsiTheme="minorHAnsi" w:cs="Arial"/>
                <w:sz w:val="22"/>
                <w:szCs w:val="22"/>
                <w:lang w:eastAsia="en-GB"/>
              </w:rPr>
            </w:pPr>
            <w:r w:rsidRPr="001D52A0">
              <w:rPr>
                <w:rFonts w:asciiTheme="minorHAnsi" w:hAnsiTheme="minorHAnsi" w:cs="Arial"/>
                <w:sz w:val="22"/>
                <w:szCs w:val="22"/>
                <w:lang w:eastAsia="en-GB"/>
              </w:rPr>
              <w:t>404</w:t>
            </w:r>
          </w:p>
        </w:tc>
      </w:tr>
      <w:tr w:rsidR="002F3ED5" w:rsidRPr="001D52A0" w14:paraId="04D629D2" w14:textId="77777777" w:rsidTr="00D07C7F">
        <w:trPr>
          <w:trHeight w:val="300"/>
        </w:trPr>
        <w:tc>
          <w:tcPr>
            <w:tcW w:w="6374" w:type="dxa"/>
            <w:noWrap/>
            <w:hideMark/>
          </w:tcPr>
          <w:p w14:paraId="2EB1B539" w14:textId="77777777" w:rsidR="002F3ED5" w:rsidRPr="001D52A0" w:rsidRDefault="002F3ED5" w:rsidP="00D07C7F">
            <w:pPr>
              <w:autoSpaceDE w:val="0"/>
              <w:autoSpaceDN w:val="0"/>
              <w:adjustRightInd w:val="0"/>
              <w:ind w:left="357"/>
              <w:contextualSpacing/>
              <w:jc w:val="both"/>
              <w:rPr>
                <w:rFonts w:asciiTheme="minorHAnsi" w:hAnsiTheme="minorHAnsi" w:cs="Arial"/>
                <w:sz w:val="22"/>
                <w:szCs w:val="22"/>
                <w:lang w:eastAsia="en-GB"/>
              </w:rPr>
            </w:pPr>
            <w:r w:rsidRPr="001D52A0">
              <w:rPr>
                <w:rFonts w:asciiTheme="minorHAnsi" w:hAnsiTheme="minorHAnsi" w:cs="Arial"/>
                <w:sz w:val="22"/>
                <w:szCs w:val="22"/>
                <w:lang w:eastAsia="en-GB"/>
              </w:rPr>
              <w:t>Business rates - variance to prior year budget and forecast</w:t>
            </w:r>
          </w:p>
        </w:tc>
        <w:tc>
          <w:tcPr>
            <w:tcW w:w="3402" w:type="dxa"/>
            <w:noWrap/>
            <w:hideMark/>
          </w:tcPr>
          <w:p w14:paraId="72821E6D" w14:textId="77777777" w:rsidR="002F3ED5" w:rsidRPr="001D52A0" w:rsidRDefault="002F3ED5" w:rsidP="00D07C7F">
            <w:pPr>
              <w:autoSpaceDE w:val="0"/>
              <w:autoSpaceDN w:val="0"/>
              <w:adjustRightInd w:val="0"/>
              <w:ind w:left="357"/>
              <w:contextualSpacing/>
              <w:jc w:val="both"/>
              <w:rPr>
                <w:rFonts w:asciiTheme="minorHAnsi" w:hAnsiTheme="minorHAnsi" w:cs="Arial"/>
                <w:sz w:val="22"/>
                <w:szCs w:val="22"/>
                <w:lang w:eastAsia="en-GB"/>
              </w:rPr>
            </w:pPr>
            <w:r w:rsidRPr="001D52A0">
              <w:rPr>
                <w:rFonts w:asciiTheme="minorHAnsi" w:hAnsiTheme="minorHAnsi" w:cs="Arial"/>
                <w:sz w:val="22"/>
                <w:szCs w:val="22"/>
                <w:lang w:eastAsia="en-GB"/>
              </w:rPr>
              <w:t>858</w:t>
            </w:r>
          </w:p>
        </w:tc>
      </w:tr>
      <w:tr w:rsidR="002F3ED5" w:rsidRPr="001D52A0" w14:paraId="09C6C7D6" w14:textId="77777777" w:rsidTr="00D07C7F">
        <w:trPr>
          <w:trHeight w:val="315"/>
        </w:trPr>
        <w:tc>
          <w:tcPr>
            <w:tcW w:w="6374" w:type="dxa"/>
            <w:noWrap/>
            <w:hideMark/>
          </w:tcPr>
          <w:p w14:paraId="270F1842" w14:textId="77777777" w:rsidR="002F3ED5" w:rsidRPr="001D52A0" w:rsidRDefault="002F3ED5" w:rsidP="00D07C7F">
            <w:pPr>
              <w:autoSpaceDE w:val="0"/>
              <w:autoSpaceDN w:val="0"/>
              <w:adjustRightInd w:val="0"/>
              <w:ind w:left="357"/>
              <w:contextualSpacing/>
              <w:jc w:val="both"/>
              <w:rPr>
                <w:rFonts w:asciiTheme="minorHAnsi" w:hAnsiTheme="minorHAnsi" w:cs="Arial"/>
                <w:b/>
                <w:sz w:val="22"/>
                <w:szCs w:val="22"/>
                <w:lang w:eastAsia="en-GB"/>
              </w:rPr>
            </w:pPr>
            <w:r w:rsidRPr="001D52A0">
              <w:rPr>
                <w:rFonts w:asciiTheme="minorHAnsi" w:hAnsiTheme="minorHAnsi" w:cs="Arial"/>
                <w:b/>
                <w:sz w:val="22"/>
                <w:szCs w:val="22"/>
                <w:lang w:eastAsia="en-GB"/>
              </w:rPr>
              <w:t>Total</w:t>
            </w:r>
          </w:p>
        </w:tc>
        <w:tc>
          <w:tcPr>
            <w:tcW w:w="3402" w:type="dxa"/>
            <w:noWrap/>
            <w:hideMark/>
          </w:tcPr>
          <w:p w14:paraId="092273F2" w14:textId="77777777" w:rsidR="002F3ED5" w:rsidRPr="001D52A0" w:rsidRDefault="002F3ED5" w:rsidP="00D07C7F">
            <w:pPr>
              <w:autoSpaceDE w:val="0"/>
              <w:autoSpaceDN w:val="0"/>
              <w:adjustRightInd w:val="0"/>
              <w:ind w:left="357"/>
              <w:contextualSpacing/>
              <w:jc w:val="both"/>
              <w:rPr>
                <w:rFonts w:asciiTheme="minorHAnsi" w:hAnsiTheme="minorHAnsi" w:cs="Arial"/>
                <w:b/>
                <w:bCs/>
                <w:sz w:val="22"/>
                <w:szCs w:val="22"/>
                <w:lang w:eastAsia="en-GB"/>
              </w:rPr>
            </w:pPr>
            <w:r w:rsidRPr="001D52A0">
              <w:rPr>
                <w:rFonts w:asciiTheme="minorHAnsi" w:hAnsiTheme="minorHAnsi" w:cs="Arial"/>
                <w:b/>
                <w:bCs/>
                <w:sz w:val="22"/>
                <w:szCs w:val="22"/>
                <w:lang w:eastAsia="en-GB"/>
              </w:rPr>
              <w:t>5,478</w:t>
            </w:r>
          </w:p>
        </w:tc>
      </w:tr>
    </w:tbl>
    <w:p w14:paraId="32E8B869" w14:textId="6B849268" w:rsidR="00F61934" w:rsidRPr="003911B3" w:rsidRDefault="00F61934" w:rsidP="00F61934">
      <w:pPr>
        <w:pStyle w:val="ListParagraph"/>
        <w:numPr>
          <w:ilvl w:val="1"/>
          <w:numId w:val="39"/>
        </w:numPr>
        <w:autoSpaceDE w:val="0"/>
        <w:autoSpaceDN w:val="0"/>
        <w:adjustRightInd w:val="0"/>
        <w:spacing w:before="240" w:after="120"/>
        <w:jc w:val="both"/>
        <w:rPr>
          <w:rFonts w:asciiTheme="minorHAnsi" w:hAnsiTheme="minorHAnsi"/>
          <w:lang w:eastAsia="en-GB"/>
        </w:rPr>
      </w:pPr>
      <w:r w:rsidRPr="003911B3">
        <w:rPr>
          <w:rFonts w:asciiTheme="minorHAnsi" w:hAnsiTheme="minorHAnsi"/>
          <w:lang w:eastAsia="en-GB"/>
        </w:rPr>
        <w:t xml:space="preserve">It is worth noting that the Authority takes a prudent and risk based approach on contracts and aims to build mitigation within our contracts. Whilst the PPP contract is dampened by the impact of inflation, it also has mechanisms built in to allow for additional income if certain criteria are met.  The last couple of years have seen the Authority and boroughs benefit from the additional income off the back of high electricity prices, and this has mitigated to a certain extent against the high rise in inflation which has impacted on spend. </w:t>
      </w:r>
      <w:r w:rsidR="00BB63D4" w:rsidRPr="003911B3">
        <w:rPr>
          <w:rFonts w:asciiTheme="minorHAnsi" w:hAnsiTheme="minorHAnsi"/>
          <w:lang w:eastAsia="en-GB"/>
        </w:rPr>
        <w:t xml:space="preserve"> The growth in levies set off against the PPP income to be shared with boroughs is 1.9%</w:t>
      </w:r>
      <w:r w:rsidR="005D6D29" w:rsidRPr="003911B3">
        <w:rPr>
          <w:rFonts w:asciiTheme="minorHAnsi" w:hAnsiTheme="minorHAnsi"/>
          <w:lang w:eastAsia="en-GB"/>
        </w:rPr>
        <w:t xml:space="preserve"> against the 8% being shown above without the shared PPP income</w:t>
      </w:r>
      <w:r w:rsidR="00BB63D4" w:rsidRPr="003911B3">
        <w:rPr>
          <w:rFonts w:asciiTheme="minorHAnsi" w:hAnsiTheme="minorHAnsi"/>
          <w:lang w:eastAsia="en-GB"/>
        </w:rPr>
        <w:t xml:space="preserve">. </w:t>
      </w:r>
      <w:r w:rsidRPr="003911B3">
        <w:rPr>
          <w:rFonts w:asciiTheme="minorHAnsi" w:hAnsiTheme="minorHAnsi"/>
          <w:lang w:eastAsia="en-GB"/>
        </w:rPr>
        <w:t xml:space="preserve"> However, inflation and energy prices can shift upwards and downwards, and the additional income we have been receiving is not a guaranteed income stream to the Authority.</w:t>
      </w:r>
      <w:r w:rsidR="00BB63D4" w:rsidRPr="003911B3">
        <w:rPr>
          <w:rFonts w:asciiTheme="minorHAnsi" w:hAnsiTheme="minorHAnsi"/>
          <w:lang w:eastAsia="en-GB"/>
        </w:rPr>
        <w:t xml:space="preserve">  </w:t>
      </w:r>
    </w:p>
    <w:p w14:paraId="5328B401" w14:textId="08E3A7D6" w:rsidR="002F3ED5" w:rsidRPr="001D52A0" w:rsidRDefault="00857806" w:rsidP="00256721">
      <w:pPr>
        <w:autoSpaceDE w:val="0"/>
        <w:autoSpaceDN w:val="0"/>
        <w:adjustRightInd w:val="0"/>
        <w:spacing w:before="240" w:after="120"/>
        <w:jc w:val="both"/>
        <w:rPr>
          <w:rFonts w:asciiTheme="minorHAnsi" w:hAnsiTheme="minorHAnsi" w:cs="Arial"/>
          <w:sz w:val="22"/>
          <w:szCs w:val="22"/>
          <w:lang w:eastAsia="en-GB"/>
        </w:rPr>
      </w:pPr>
      <w:r>
        <w:rPr>
          <w:rFonts w:asciiTheme="minorHAnsi" w:hAnsiTheme="minorHAnsi" w:cs="Arial"/>
          <w:sz w:val="22"/>
          <w:szCs w:val="22"/>
          <w:lang w:eastAsia="en-GB"/>
        </w:rPr>
        <w:t>2</w:t>
      </w:r>
      <w:r w:rsidR="00F61934">
        <w:rPr>
          <w:rFonts w:asciiTheme="minorHAnsi" w:hAnsiTheme="minorHAnsi" w:cs="Arial"/>
          <w:sz w:val="22"/>
          <w:szCs w:val="22"/>
          <w:lang w:eastAsia="en-GB"/>
        </w:rPr>
        <w:t>.4</w:t>
      </w:r>
      <w:r>
        <w:rPr>
          <w:rFonts w:asciiTheme="minorHAnsi" w:hAnsiTheme="minorHAnsi" w:cs="Arial"/>
          <w:sz w:val="22"/>
          <w:szCs w:val="22"/>
          <w:lang w:eastAsia="en-GB"/>
        </w:rPr>
        <w:t xml:space="preserve"> </w:t>
      </w:r>
      <w:r w:rsidR="006E174A" w:rsidRPr="001D52A0">
        <w:rPr>
          <w:rFonts w:asciiTheme="minorHAnsi" w:hAnsiTheme="minorHAnsi" w:cs="Arial"/>
          <w:sz w:val="22"/>
          <w:szCs w:val="22"/>
          <w:lang w:eastAsia="en-GB"/>
        </w:rPr>
        <w:t xml:space="preserve">In the prior year, the budgeted inflation was 10% which was 3.8% lower than the actual of 13.8%.  </w:t>
      </w:r>
      <w:r w:rsidR="00AE6156" w:rsidRPr="001D52A0">
        <w:rPr>
          <w:rFonts w:asciiTheme="minorHAnsi" w:hAnsiTheme="minorHAnsi" w:cs="Arial"/>
          <w:sz w:val="22"/>
          <w:szCs w:val="22"/>
          <w:lang w:eastAsia="en-GB"/>
        </w:rPr>
        <w:t>Therefore, the</w:t>
      </w:r>
      <w:r w:rsidR="006E174A" w:rsidRPr="001D52A0">
        <w:rPr>
          <w:rFonts w:asciiTheme="minorHAnsi" w:hAnsiTheme="minorHAnsi" w:cs="Arial"/>
          <w:sz w:val="22"/>
          <w:szCs w:val="22"/>
          <w:lang w:eastAsia="en-GB"/>
        </w:rPr>
        <w:t xml:space="preserve"> proposed 2024/25 budget has growth based on the inflationary pressures from last year following through</w:t>
      </w:r>
      <w:r w:rsidR="00AE6156" w:rsidRPr="001D52A0">
        <w:rPr>
          <w:rFonts w:asciiTheme="minorHAnsi" w:hAnsiTheme="minorHAnsi" w:cs="Arial"/>
          <w:sz w:val="22"/>
          <w:szCs w:val="22"/>
          <w:lang w:eastAsia="en-GB"/>
        </w:rPr>
        <w:t xml:space="preserve"> as well as an increase of the budgeted 6.5% inflation</w:t>
      </w:r>
      <w:r w:rsidR="006E174A" w:rsidRPr="001D52A0">
        <w:rPr>
          <w:rFonts w:asciiTheme="minorHAnsi" w:hAnsiTheme="minorHAnsi" w:cs="Arial"/>
          <w:sz w:val="22"/>
          <w:szCs w:val="22"/>
          <w:lang w:eastAsia="en-GB"/>
        </w:rPr>
        <w:t xml:space="preserve">. </w:t>
      </w:r>
      <w:r w:rsidR="002F3ED5" w:rsidRPr="001D52A0">
        <w:rPr>
          <w:rFonts w:asciiTheme="minorHAnsi" w:hAnsiTheme="minorHAnsi" w:cs="Arial"/>
          <w:sz w:val="22"/>
          <w:szCs w:val="22"/>
          <w:lang w:eastAsia="en-GB"/>
        </w:rPr>
        <w:t xml:space="preserve"> Key items to note that varied from the 2023/24 budget were:</w:t>
      </w:r>
    </w:p>
    <w:p w14:paraId="3585BCD4" w14:textId="7F3EE3CE" w:rsidR="00AE6156" w:rsidRPr="001D52A0" w:rsidRDefault="002F3ED5" w:rsidP="00F61934">
      <w:pPr>
        <w:pStyle w:val="ListParagraph"/>
        <w:numPr>
          <w:ilvl w:val="0"/>
          <w:numId w:val="40"/>
        </w:numPr>
        <w:autoSpaceDE w:val="0"/>
        <w:autoSpaceDN w:val="0"/>
        <w:adjustRightInd w:val="0"/>
        <w:spacing w:before="240" w:after="120" w:line="240" w:lineRule="auto"/>
        <w:jc w:val="both"/>
        <w:rPr>
          <w:rFonts w:asciiTheme="minorHAnsi" w:hAnsiTheme="minorHAnsi"/>
          <w:lang w:eastAsia="en-GB"/>
        </w:rPr>
      </w:pPr>
      <w:r w:rsidRPr="001D52A0">
        <w:rPr>
          <w:rFonts w:asciiTheme="minorHAnsi" w:hAnsiTheme="minorHAnsi"/>
          <w:lang w:eastAsia="en-GB"/>
        </w:rPr>
        <w:t xml:space="preserve">The actual Lakeside gate fee actual came in at £5 higher than budgeted, meaning that there was a £400k </w:t>
      </w:r>
      <w:r w:rsidR="00A76B18" w:rsidRPr="001D52A0">
        <w:rPr>
          <w:rFonts w:asciiTheme="minorHAnsi" w:hAnsiTheme="minorHAnsi"/>
          <w:lang w:eastAsia="en-GB"/>
        </w:rPr>
        <w:t>impact on the budget</w:t>
      </w:r>
      <w:r w:rsidRPr="001D52A0">
        <w:rPr>
          <w:rFonts w:asciiTheme="minorHAnsi" w:hAnsiTheme="minorHAnsi"/>
          <w:lang w:eastAsia="en-GB"/>
        </w:rPr>
        <w:t>.</w:t>
      </w:r>
    </w:p>
    <w:p w14:paraId="42175476" w14:textId="4CF7F129" w:rsidR="00857806" w:rsidRDefault="002F3ED5" w:rsidP="00F61934">
      <w:pPr>
        <w:pStyle w:val="ListParagraph"/>
        <w:numPr>
          <w:ilvl w:val="0"/>
          <w:numId w:val="40"/>
        </w:numPr>
        <w:autoSpaceDE w:val="0"/>
        <w:autoSpaceDN w:val="0"/>
        <w:adjustRightInd w:val="0"/>
        <w:spacing w:before="240" w:after="120" w:line="240" w:lineRule="auto"/>
        <w:jc w:val="both"/>
        <w:rPr>
          <w:rFonts w:asciiTheme="minorHAnsi" w:hAnsiTheme="minorHAnsi"/>
          <w:lang w:eastAsia="en-GB"/>
        </w:rPr>
      </w:pPr>
      <w:r w:rsidRPr="00857806">
        <w:rPr>
          <w:rFonts w:asciiTheme="minorHAnsi" w:hAnsiTheme="minorHAnsi"/>
          <w:lang w:eastAsia="en-GB"/>
        </w:rPr>
        <w:t>Business rates had gone through a valuation process and on average were 38% higher than budgeted</w:t>
      </w:r>
      <w:r w:rsidR="00A64DA4" w:rsidRPr="00857806">
        <w:rPr>
          <w:rFonts w:asciiTheme="minorHAnsi" w:hAnsiTheme="minorHAnsi"/>
          <w:lang w:eastAsia="en-GB"/>
        </w:rPr>
        <w:t>, which was an impact of £858k</w:t>
      </w:r>
      <w:r w:rsidR="00A76B18" w:rsidRPr="00857806">
        <w:rPr>
          <w:rFonts w:asciiTheme="minorHAnsi" w:hAnsiTheme="minorHAnsi"/>
          <w:lang w:eastAsia="en-GB"/>
        </w:rPr>
        <w:t xml:space="preserve"> on budget</w:t>
      </w:r>
      <w:r w:rsidR="00A64DA4" w:rsidRPr="00857806">
        <w:rPr>
          <w:rFonts w:asciiTheme="minorHAnsi" w:hAnsiTheme="minorHAnsi"/>
          <w:lang w:eastAsia="en-GB"/>
        </w:rPr>
        <w:t>.</w:t>
      </w:r>
    </w:p>
    <w:p w14:paraId="5EEB7E18" w14:textId="77777777" w:rsidR="00857806" w:rsidRPr="00857806" w:rsidRDefault="00857806" w:rsidP="00256721">
      <w:pPr>
        <w:pStyle w:val="ListParagraph"/>
        <w:autoSpaceDE w:val="0"/>
        <w:autoSpaceDN w:val="0"/>
        <w:adjustRightInd w:val="0"/>
        <w:spacing w:before="240" w:after="120" w:line="240" w:lineRule="auto"/>
        <w:jc w:val="both"/>
        <w:rPr>
          <w:rFonts w:asciiTheme="minorHAnsi" w:hAnsiTheme="minorHAnsi"/>
          <w:lang w:eastAsia="en-GB"/>
        </w:rPr>
      </w:pPr>
    </w:p>
    <w:p w14:paraId="0021CA74" w14:textId="0B515482" w:rsidR="00857806" w:rsidRDefault="00AE6156" w:rsidP="0030376E">
      <w:pPr>
        <w:pStyle w:val="ListParagraph"/>
        <w:numPr>
          <w:ilvl w:val="1"/>
          <w:numId w:val="41"/>
        </w:numPr>
        <w:autoSpaceDE w:val="0"/>
        <w:autoSpaceDN w:val="0"/>
        <w:adjustRightInd w:val="0"/>
        <w:spacing w:before="240" w:after="120" w:line="240" w:lineRule="auto"/>
        <w:jc w:val="both"/>
        <w:rPr>
          <w:rFonts w:asciiTheme="minorHAnsi" w:hAnsiTheme="minorHAnsi"/>
          <w:lang w:eastAsia="en-GB"/>
        </w:rPr>
      </w:pPr>
      <w:r w:rsidRPr="00857806">
        <w:rPr>
          <w:rFonts w:asciiTheme="minorHAnsi" w:hAnsiTheme="minorHAnsi"/>
          <w:color w:val="000000" w:themeColor="text1"/>
          <w:lang w:eastAsia="en-GB"/>
        </w:rPr>
        <w:t xml:space="preserve">As </w:t>
      </w:r>
      <w:r w:rsidRPr="00857806">
        <w:rPr>
          <w:rFonts w:asciiTheme="minorHAnsi" w:hAnsiTheme="minorHAnsi"/>
          <w:lang w:eastAsia="en-GB"/>
        </w:rPr>
        <w:t>mentioned, inflation has been budgeted in 2024/25 at 6.5% on the relevant contracts.  Within Waste Transport and Disposal costs, the PPP</w:t>
      </w:r>
      <w:r w:rsidR="000071A4" w:rsidRPr="00857806">
        <w:rPr>
          <w:rFonts w:asciiTheme="minorHAnsi" w:hAnsiTheme="minorHAnsi"/>
          <w:lang w:eastAsia="en-GB"/>
        </w:rPr>
        <w:t xml:space="preserve"> contract with WLER dampens </w:t>
      </w:r>
      <w:r w:rsidRPr="00857806">
        <w:rPr>
          <w:rFonts w:asciiTheme="minorHAnsi" w:hAnsiTheme="minorHAnsi"/>
          <w:lang w:eastAsia="en-GB"/>
        </w:rPr>
        <w:t xml:space="preserve">inflation from 6.5% to 2.2% due to the pricing mechanism which protects </w:t>
      </w:r>
      <w:r w:rsidR="002C7D2A" w:rsidRPr="00857806">
        <w:rPr>
          <w:rFonts w:asciiTheme="minorHAnsi" w:hAnsiTheme="minorHAnsi"/>
          <w:lang w:eastAsia="en-GB"/>
        </w:rPr>
        <w:t>a significant amount of tonnages from the impact of inflation</w:t>
      </w:r>
      <w:r w:rsidRPr="00857806">
        <w:rPr>
          <w:rFonts w:asciiTheme="minorHAnsi" w:hAnsiTheme="minorHAnsi"/>
          <w:lang w:eastAsia="en-GB"/>
        </w:rPr>
        <w:t xml:space="preserve">.  Savings have also been identified where spend is not required, or can be outsourced at a cheaper alternative but has a much more positive impact to the Authority.  </w:t>
      </w:r>
    </w:p>
    <w:p w14:paraId="4A23C762" w14:textId="77777777" w:rsidR="00857806" w:rsidRPr="00857806" w:rsidRDefault="00857806" w:rsidP="00256721">
      <w:pPr>
        <w:pStyle w:val="ListParagraph"/>
        <w:autoSpaceDE w:val="0"/>
        <w:autoSpaceDN w:val="0"/>
        <w:adjustRightInd w:val="0"/>
        <w:spacing w:before="240" w:after="120" w:line="240" w:lineRule="auto"/>
        <w:ind w:left="360"/>
        <w:jc w:val="both"/>
        <w:rPr>
          <w:rFonts w:asciiTheme="minorHAnsi" w:hAnsiTheme="minorHAnsi"/>
          <w:lang w:eastAsia="en-GB"/>
        </w:rPr>
      </w:pPr>
    </w:p>
    <w:p w14:paraId="54D03191" w14:textId="77777777" w:rsidR="00857806" w:rsidRDefault="00B844CF" w:rsidP="0030376E">
      <w:pPr>
        <w:pStyle w:val="ListParagraph"/>
        <w:numPr>
          <w:ilvl w:val="1"/>
          <w:numId w:val="41"/>
        </w:numPr>
        <w:autoSpaceDE w:val="0"/>
        <w:autoSpaceDN w:val="0"/>
        <w:adjustRightInd w:val="0"/>
        <w:spacing w:before="240" w:after="120" w:line="240" w:lineRule="auto"/>
        <w:jc w:val="both"/>
        <w:rPr>
          <w:rFonts w:asciiTheme="minorHAnsi" w:hAnsiTheme="minorHAnsi"/>
          <w:lang w:eastAsia="en-GB"/>
        </w:rPr>
      </w:pPr>
      <w:r w:rsidRPr="00857806">
        <w:rPr>
          <w:rFonts w:asciiTheme="minorHAnsi" w:hAnsiTheme="minorHAnsi"/>
          <w:lang w:eastAsia="en-GB"/>
        </w:rPr>
        <w:t xml:space="preserve">Insurance premiums within the waste industry have increased significantly and in prior years, the Authority was able to absorb this cost.  However, with the increase of fires, floods and heat, the costs are too significant to absorb.  Insurance premiums have increased by 518% since 2016 with general insurance companies finding the </w:t>
      </w:r>
      <w:r w:rsidRPr="00857806">
        <w:rPr>
          <w:rFonts w:asciiTheme="minorHAnsi" w:hAnsiTheme="minorHAnsi"/>
          <w:lang w:eastAsia="en-GB"/>
        </w:rPr>
        <w:lastRenderedPageBreak/>
        <w:t>waste industry being high risk.  The cost of the WLER insurance premium has been included in 2024/25 under the PAYT SERC element.</w:t>
      </w:r>
    </w:p>
    <w:p w14:paraId="520A6FC0" w14:textId="77777777" w:rsidR="00857806" w:rsidRPr="00857806" w:rsidRDefault="00857806" w:rsidP="00256721">
      <w:pPr>
        <w:pStyle w:val="ListParagraph"/>
        <w:spacing w:line="240" w:lineRule="auto"/>
        <w:rPr>
          <w:rFonts w:asciiTheme="minorHAnsi" w:hAnsiTheme="minorHAnsi"/>
          <w:lang w:eastAsia="en-GB"/>
        </w:rPr>
      </w:pPr>
    </w:p>
    <w:p w14:paraId="5451BBAE" w14:textId="77777777" w:rsidR="00857806" w:rsidRDefault="00B844CF" w:rsidP="0030376E">
      <w:pPr>
        <w:pStyle w:val="ListParagraph"/>
        <w:numPr>
          <w:ilvl w:val="1"/>
          <w:numId w:val="41"/>
        </w:numPr>
        <w:autoSpaceDE w:val="0"/>
        <w:autoSpaceDN w:val="0"/>
        <w:adjustRightInd w:val="0"/>
        <w:spacing w:before="240" w:after="120" w:line="240" w:lineRule="auto"/>
        <w:jc w:val="both"/>
        <w:rPr>
          <w:rFonts w:asciiTheme="minorHAnsi" w:hAnsiTheme="minorHAnsi"/>
          <w:lang w:eastAsia="en-GB"/>
        </w:rPr>
      </w:pPr>
      <w:r w:rsidRPr="00857806">
        <w:rPr>
          <w:rFonts w:asciiTheme="minorHAnsi" w:hAnsiTheme="minorHAnsi"/>
          <w:lang w:eastAsia="en-GB"/>
        </w:rPr>
        <w:t>In</w:t>
      </w:r>
      <w:r w:rsidR="006E174A" w:rsidRPr="00857806">
        <w:rPr>
          <w:rFonts w:asciiTheme="minorHAnsi" w:hAnsiTheme="minorHAnsi"/>
          <w:lang w:eastAsia="en-GB"/>
        </w:rPr>
        <w:t xml:space="preserve"> 2023/24, West London Waste Authority have continued to provide a more greater and varied service to boroughs, meaning that whilst there are an increase in tonnages </w:t>
      </w:r>
      <w:r w:rsidR="006933A4" w:rsidRPr="00857806">
        <w:rPr>
          <w:rFonts w:asciiTheme="minorHAnsi" w:hAnsiTheme="minorHAnsi"/>
          <w:lang w:eastAsia="en-GB"/>
        </w:rPr>
        <w:t xml:space="preserve">budgeted for 2024/25 </w:t>
      </w:r>
      <w:r w:rsidR="006E174A" w:rsidRPr="00857806">
        <w:rPr>
          <w:rFonts w:asciiTheme="minorHAnsi" w:hAnsiTheme="minorHAnsi"/>
          <w:lang w:eastAsia="en-GB"/>
        </w:rPr>
        <w:t>within certain material streams (mainly recyclables), the overall mission of reducing residual waste has been effective.</w:t>
      </w:r>
      <w:r w:rsidR="00AE6156" w:rsidRPr="00857806">
        <w:rPr>
          <w:rFonts w:asciiTheme="minorHAnsi" w:hAnsiTheme="minorHAnsi"/>
          <w:lang w:eastAsia="en-GB"/>
        </w:rPr>
        <w:t xml:space="preserve">  </w:t>
      </w:r>
      <w:r w:rsidRPr="00857806">
        <w:rPr>
          <w:rFonts w:asciiTheme="minorHAnsi" w:hAnsiTheme="minorHAnsi"/>
          <w:lang w:eastAsia="en-GB"/>
        </w:rPr>
        <w:t>The impact of this on the budget is a growth of 1.5%.</w:t>
      </w:r>
    </w:p>
    <w:p w14:paraId="5E99E351" w14:textId="77777777" w:rsidR="00857806" w:rsidRPr="00857806" w:rsidRDefault="00857806" w:rsidP="00857806">
      <w:pPr>
        <w:pStyle w:val="ListParagraph"/>
        <w:rPr>
          <w:rFonts w:asciiTheme="minorHAnsi" w:hAnsiTheme="minorHAnsi"/>
          <w:lang w:eastAsia="en-GB"/>
        </w:rPr>
      </w:pPr>
    </w:p>
    <w:p w14:paraId="04281071" w14:textId="77777777" w:rsidR="00857806" w:rsidRDefault="00B10938" w:rsidP="0030376E">
      <w:pPr>
        <w:pStyle w:val="ListParagraph"/>
        <w:numPr>
          <w:ilvl w:val="1"/>
          <w:numId w:val="41"/>
        </w:numPr>
        <w:autoSpaceDE w:val="0"/>
        <w:autoSpaceDN w:val="0"/>
        <w:adjustRightInd w:val="0"/>
        <w:spacing w:before="240" w:after="120" w:line="240" w:lineRule="auto"/>
        <w:jc w:val="both"/>
        <w:rPr>
          <w:rFonts w:asciiTheme="minorHAnsi" w:hAnsiTheme="minorHAnsi"/>
          <w:lang w:eastAsia="en-GB"/>
        </w:rPr>
      </w:pPr>
      <w:r w:rsidRPr="00857806">
        <w:rPr>
          <w:rFonts w:asciiTheme="minorHAnsi" w:hAnsiTheme="minorHAnsi"/>
          <w:lang w:eastAsia="en-GB"/>
        </w:rPr>
        <w:t>With the emissions trading scheme on the horizon, West London Waste Authority are committed to working collaboratively with boroughs on ways to reduce fossil carbon in waste, and ultimately reduce residual waste.  There is a risk that boroughs could see their levies increase if we do not continue in our programmes and projects of waste reduction, and the budget allows for more collaborative working to mitigate against some of these financial risks.</w:t>
      </w:r>
    </w:p>
    <w:p w14:paraId="100B6D96" w14:textId="77777777" w:rsidR="00857806" w:rsidRPr="00857806" w:rsidRDefault="00857806" w:rsidP="00256721">
      <w:pPr>
        <w:pStyle w:val="ListParagraph"/>
        <w:spacing w:line="240" w:lineRule="auto"/>
        <w:rPr>
          <w:rFonts w:asciiTheme="minorHAnsi" w:hAnsiTheme="minorHAnsi"/>
          <w:lang w:eastAsia="en-GB"/>
        </w:rPr>
      </w:pPr>
    </w:p>
    <w:p w14:paraId="107CE9B9" w14:textId="7DE1C16F" w:rsidR="00F61934" w:rsidRDefault="00F523B6" w:rsidP="0030376E">
      <w:pPr>
        <w:pStyle w:val="ListParagraph"/>
        <w:numPr>
          <w:ilvl w:val="1"/>
          <w:numId w:val="41"/>
        </w:numPr>
        <w:autoSpaceDE w:val="0"/>
        <w:autoSpaceDN w:val="0"/>
        <w:adjustRightInd w:val="0"/>
        <w:spacing w:before="240" w:after="120" w:line="240" w:lineRule="auto"/>
        <w:jc w:val="both"/>
        <w:rPr>
          <w:rFonts w:asciiTheme="minorHAnsi" w:hAnsiTheme="minorHAnsi"/>
          <w:lang w:eastAsia="en-GB"/>
        </w:rPr>
      </w:pPr>
      <w:r w:rsidRPr="00857806">
        <w:rPr>
          <w:rFonts w:asciiTheme="minorHAnsi" w:hAnsiTheme="minorHAnsi"/>
          <w:lang w:eastAsia="en-GB"/>
        </w:rPr>
        <w:t>T</w:t>
      </w:r>
      <w:r w:rsidR="00182E46" w:rsidRPr="00857806">
        <w:rPr>
          <w:rFonts w:asciiTheme="minorHAnsi" w:hAnsiTheme="minorHAnsi"/>
          <w:lang w:eastAsia="en-GB"/>
        </w:rPr>
        <w:t>he 2024/25</w:t>
      </w:r>
      <w:r w:rsidR="00832A99" w:rsidRPr="00857806">
        <w:rPr>
          <w:rFonts w:asciiTheme="minorHAnsi" w:hAnsiTheme="minorHAnsi"/>
          <w:lang w:eastAsia="en-GB"/>
        </w:rPr>
        <w:t xml:space="preserve"> budget anticipates PPP income </w:t>
      </w:r>
      <w:r w:rsidR="007D7C54" w:rsidRPr="00857806">
        <w:rPr>
          <w:rFonts w:asciiTheme="minorHAnsi" w:hAnsiTheme="minorHAnsi"/>
          <w:lang w:eastAsia="en-GB"/>
        </w:rPr>
        <w:t xml:space="preserve">(estimated total of £6.3 million) </w:t>
      </w:r>
      <w:r w:rsidR="00832A99" w:rsidRPr="00857806">
        <w:rPr>
          <w:rFonts w:asciiTheme="minorHAnsi" w:hAnsiTheme="minorHAnsi"/>
          <w:lang w:eastAsia="en-GB"/>
        </w:rPr>
        <w:t xml:space="preserve">and </w:t>
      </w:r>
      <w:r w:rsidRPr="00857806">
        <w:rPr>
          <w:rFonts w:asciiTheme="minorHAnsi" w:hAnsiTheme="minorHAnsi"/>
          <w:lang w:eastAsia="en-GB"/>
        </w:rPr>
        <w:t xml:space="preserve">proposes to </w:t>
      </w:r>
      <w:r w:rsidR="00832A99" w:rsidRPr="00857806">
        <w:rPr>
          <w:rFonts w:asciiTheme="minorHAnsi" w:hAnsiTheme="minorHAnsi"/>
          <w:lang w:eastAsia="en-GB"/>
        </w:rPr>
        <w:t>pay boroughs £</w:t>
      </w:r>
      <w:r w:rsidR="004B0BF0" w:rsidRPr="00857806">
        <w:rPr>
          <w:rFonts w:asciiTheme="minorHAnsi" w:hAnsiTheme="minorHAnsi"/>
          <w:lang w:eastAsia="en-GB"/>
        </w:rPr>
        <w:t>4.2</w:t>
      </w:r>
      <w:r w:rsidR="00832A99" w:rsidRPr="00857806">
        <w:rPr>
          <w:rFonts w:asciiTheme="minorHAnsi" w:hAnsiTheme="minorHAnsi"/>
          <w:lang w:eastAsia="en-GB"/>
        </w:rPr>
        <w:t xml:space="preserve"> million </w:t>
      </w:r>
      <w:r w:rsidR="00182E46" w:rsidRPr="00857806">
        <w:rPr>
          <w:rFonts w:asciiTheme="minorHAnsi" w:hAnsiTheme="minorHAnsi"/>
          <w:lang w:eastAsia="en-GB"/>
        </w:rPr>
        <w:t>by September 2024</w:t>
      </w:r>
      <w:r w:rsidR="00832A99" w:rsidRPr="00857806">
        <w:rPr>
          <w:rFonts w:asciiTheme="minorHAnsi" w:hAnsiTheme="minorHAnsi"/>
          <w:lang w:eastAsia="en-GB"/>
        </w:rPr>
        <w:t xml:space="preserve"> </w:t>
      </w:r>
      <w:r w:rsidR="005C5F59" w:rsidRPr="00857806">
        <w:rPr>
          <w:rFonts w:asciiTheme="minorHAnsi" w:hAnsiTheme="minorHAnsi"/>
          <w:lang w:eastAsia="en-GB"/>
        </w:rPr>
        <w:t xml:space="preserve">apportioned using the final approved council tax base </w:t>
      </w:r>
      <w:r w:rsidR="00832A99" w:rsidRPr="00857806">
        <w:rPr>
          <w:rFonts w:asciiTheme="minorHAnsi" w:hAnsiTheme="minorHAnsi"/>
          <w:lang w:eastAsia="en-GB"/>
        </w:rPr>
        <w:t xml:space="preserve">(i.e. </w:t>
      </w:r>
      <w:r w:rsidR="005C5F59" w:rsidRPr="00857806">
        <w:rPr>
          <w:rFonts w:asciiTheme="minorHAnsi" w:hAnsiTheme="minorHAnsi"/>
          <w:lang w:eastAsia="en-GB"/>
        </w:rPr>
        <w:t xml:space="preserve">approx. </w:t>
      </w:r>
      <w:r w:rsidR="004B0BF0" w:rsidRPr="00857806">
        <w:rPr>
          <w:rFonts w:asciiTheme="minorHAnsi" w:hAnsiTheme="minorHAnsi"/>
          <w:lang w:eastAsia="en-GB"/>
        </w:rPr>
        <w:t>£0.7</w:t>
      </w:r>
      <w:r w:rsidR="005C5F59" w:rsidRPr="00857806">
        <w:rPr>
          <w:rFonts w:asciiTheme="minorHAnsi" w:hAnsiTheme="minorHAnsi"/>
          <w:lang w:eastAsia="en-GB"/>
        </w:rPr>
        <w:t xml:space="preserve"> </w:t>
      </w:r>
      <w:r w:rsidR="00832A99" w:rsidRPr="00857806">
        <w:rPr>
          <w:rFonts w:asciiTheme="minorHAnsi" w:hAnsiTheme="minorHAnsi"/>
          <w:lang w:eastAsia="en-GB"/>
        </w:rPr>
        <w:t xml:space="preserve">million each). </w:t>
      </w:r>
      <w:r w:rsidR="002F3ED5" w:rsidRPr="00857806">
        <w:rPr>
          <w:rFonts w:asciiTheme="minorHAnsi" w:hAnsiTheme="minorHAnsi"/>
          <w:lang w:eastAsia="en-GB"/>
        </w:rPr>
        <w:t xml:space="preserve">   </w:t>
      </w:r>
      <w:r w:rsidRPr="00857806">
        <w:rPr>
          <w:rFonts w:asciiTheme="minorHAnsi" w:hAnsiTheme="minorHAnsi"/>
          <w:lang w:eastAsia="en-GB"/>
        </w:rPr>
        <w:t>Budgeting for the payment of £</w:t>
      </w:r>
      <w:r w:rsidR="004B0BF0" w:rsidRPr="00857806">
        <w:rPr>
          <w:rFonts w:asciiTheme="minorHAnsi" w:hAnsiTheme="minorHAnsi"/>
          <w:lang w:eastAsia="en-GB"/>
        </w:rPr>
        <w:t xml:space="preserve">4.2 </w:t>
      </w:r>
      <w:r w:rsidRPr="00857806">
        <w:rPr>
          <w:rFonts w:asciiTheme="minorHAnsi" w:hAnsiTheme="minorHAnsi"/>
          <w:lang w:eastAsia="en-GB"/>
        </w:rPr>
        <w:t xml:space="preserve">million will therefore require the Authority to manage the risk of lower than anticipated income (e.g. due to low electricity prices, </w:t>
      </w:r>
      <w:r w:rsidR="00D37D45" w:rsidRPr="00857806">
        <w:rPr>
          <w:rFonts w:asciiTheme="minorHAnsi" w:hAnsiTheme="minorHAnsi"/>
          <w:lang w:eastAsia="en-GB"/>
        </w:rPr>
        <w:t xml:space="preserve">actual </w:t>
      </w:r>
      <w:r w:rsidRPr="00857806">
        <w:rPr>
          <w:rFonts w:asciiTheme="minorHAnsi" w:hAnsiTheme="minorHAnsi"/>
          <w:lang w:eastAsia="en-GB"/>
        </w:rPr>
        <w:t>impact of windfall taxes) by using its reserves.</w:t>
      </w:r>
    </w:p>
    <w:p w14:paraId="58C6AAFF" w14:textId="77777777" w:rsidR="00F61934" w:rsidRPr="00F61934" w:rsidRDefault="00F61934" w:rsidP="00F61934">
      <w:pPr>
        <w:pStyle w:val="ListParagraph"/>
        <w:autoSpaceDE w:val="0"/>
        <w:autoSpaceDN w:val="0"/>
        <w:adjustRightInd w:val="0"/>
        <w:spacing w:before="240" w:after="0" w:line="240" w:lineRule="auto"/>
        <w:ind w:left="360"/>
        <w:jc w:val="both"/>
        <w:rPr>
          <w:rFonts w:asciiTheme="minorHAnsi" w:hAnsiTheme="minorHAnsi"/>
          <w:lang w:eastAsia="en-GB"/>
        </w:rPr>
      </w:pPr>
    </w:p>
    <w:p w14:paraId="65C513DF" w14:textId="77777777" w:rsidR="00857806" w:rsidRDefault="003F4EA7" w:rsidP="0030376E">
      <w:pPr>
        <w:pStyle w:val="ListParagraph"/>
        <w:numPr>
          <w:ilvl w:val="1"/>
          <w:numId w:val="41"/>
        </w:numPr>
        <w:autoSpaceDE w:val="0"/>
        <w:autoSpaceDN w:val="0"/>
        <w:adjustRightInd w:val="0"/>
        <w:spacing w:before="240" w:after="120" w:line="240" w:lineRule="auto"/>
        <w:jc w:val="both"/>
        <w:rPr>
          <w:rFonts w:asciiTheme="minorHAnsi" w:hAnsiTheme="minorHAnsi"/>
          <w:lang w:eastAsia="en-GB"/>
        </w:rPr>
      </w:pPr>
      <w:r w:rsidRPr="00857806">
        <w:rPr>
          <w:rFonts w:asciiTheme="minorHAnsi" w:hAnsiTheme="minorHAnsi"/>
          <w:lang w:eastAsia="en-GB"/>
        </w:rPr>
        <w:t>The Authority takes a full system approach to managing costs. This is illustrated by the Abbey Road budget, where expenditure has increased by 10% (£117k), allowing more of Brent Council's household waste to be managed through the site and delivering Brent Council a saving of £1m per year.</w:t>
      </w:r>
    </w:p>
    <w:p w14:paraId="549833A4" w14:textId="77777777" w:rsidR="00857806" w:rsidRPr="00857806" w:rsidRDefault="00857806" w:rsidP="00256721">
      <w:pPr>
        <w:pStyle w:val="ListParagraph"/>
        <w:spacing w:line="240" w:lineRule="auto"/>
        <w:rPr>
          <w:rFonts w:asciiTheme="minorHAnsi" w:hAnsiTheme="minorHAnsi"/>
          <w:lang w:eastAsia="en-GB"/>
        </w:rPr>
      </w:pPr>
    </w:p>
    <w:p w14:paraId="1404874E" w14:textId="77777777" w:rsidR="00857806" w:rsidRDefault="00095EF7" w:rsidP="0030376E">
      <w:pPr>
        <w:pStyle w:val="ListParagraph"/>
        <w:numPr>
          <w:ilvl w:val="1"/>
          <w:numId w:val="41"/>
        </w:numPr>
        <w:autoSpaceDE w:val="0"/>
        <w:autoSpaceDN w:val="0"/>
        <w:adjustRightInd w:val="0"/>
        <w:spacing w:before="240" w:after="120" w:line="240" w:lineRule="auto"/>
        <w:jc w:val="both"/>
        <w:rPr>
          <w:rFonts w:asciiTheme="minorHAnsi" w:hAnsiTheme="minorHAnsi"/>
          <w:lang w:eastAsia="en-GB"/>
        </w:rPr>
      </w:pPr>
      <w:r w:rsidRPr="00857806">
        <w:rPr>
          <w:rFonts w:asciiTheme="minorHAnsi" w:hAnsiTheme="minorHAnsi"/>
          <w:lang w:eastAsia="en-GB"/>
        </w:rPr>
        <w:t>M</w:t>
      </w:r>
      <w:r w:rsidR="00E5599B" w:rsidRPr="00857806">
        <w:rPr>
          <w:rFonts w:asciiTheme="minorHAnsi" w:hAnsiTheme="minorHAnsi"/>
          <w:lang w:eastAsia="en-GB"/>
        </w:rPr>
        <w:t xml:space="preserve">ost of the Authority’s spending </w:t>
      </w:r>
      <w:r w:rsidRPr="00857806">
        <w:rPr>
          <w:rFonts w:asciiTheme="minorHAnsi" w:hAnsiTheme="minorHAnsi"/>
          <w:lang w:eastAsia="en-GB"/>
        </w:rPr>
        <w:t>relates to borough activity levels which are met</w:t>
      </w:r>
      <w:r w:rsidR="00A424DD" w:rsidRPr="00857806">
        <w:rPr>
          <w:rFonts w:asciiTheme="minorHAnsi" w:hAnsiTheme="minorHAnsi"/>
          <w:lang w:eastAsia="en-GB"/>
        </w:rPr>
        <w:t>/serviced</w:t>
      </w:r>
      <w:r w:rsidRPr="00857806">
        <w:rPr>
          <w:rFonts w:asciiTheme="minorHAnsi" w:hAnsiTheme="minorHAnsi"/>
          <w:lang w:eastAsia="en-GB"/>
        </w:rPr>
        <w:t xml:space="preserve"> through </w:t>
      </w:r>
      <w:r w:rsidR="00E5599B" w:rsidRPr="00857806">
        <w:rPr>
          <w:rFonts w:asciiTheme="minorHAnsi" w:hAnsiTheme="minorHAnsi"/>
          <w:lang w:eastAsia="en-GB"/>
        </w:rPr>
        <w:t>contracts</w:t>
      </w:r>
      <w:r w:rsidRPr="00857806">
        <w:rPr>
          <w:rFonts w:asciiTheme="minorHAnsi" w:hAnsiTheme="minorHAnsi"/>
          <w:lang w:eastAsia="en-GB"/>
        </w:rPr>
        <w:t>.</w:t>
      </w:r>
      <w:r w:rsidR="00E5599B" w:rsidRPr="00857806">
        <w:rPr>
          <w:rFonts w:asciiTheme="minorHAnsi" w:hAnsiTheme="minorHAnsi"/>
          <w:lang w:eastAsia="en-GB"/>
        </w:rPr>
        <w:t xml:space="preserve"> </w:t>
      </w:r>
      <w:r w:rsidR="006933A4" w:rsidRPr="00857806">
        <w:rPr>
          <w:rFonts w:asciiTheme="minorHAnsi" w:hAnsiTheme="minorHAnsi"/>
          <w:lang w:eastAsia="en-GB"/>
        </w:rPr>
        <w:t xml:space="preserve">The </w:t>
      </w:r>
      <w:r w:rsidRPr="00857806">
        <w:rPr>
          <w:rFonts w:asciiTheme="minorHAnsi" w:hAnsiTheme="minorHAnsi"/>
          <w:lang w:eastAsia="en-GB"/>
        </w:rPr>
        <w:t>key drivers of costs and t</w:t>
      </w:r>
      <w:r w:rsidR="0019617C" w:rsidRPr="00857806">
        <w:rPr>
          <w:rFonts w:asciiTheme="minorHAnsi" w:hAnsiTheme="minorHAnsi"/>
          <w:lang w:eastAsia="en-GB"/>
        </w:rPr>
        <w:t>herefore levies are the borough</w:t>
      </w:r>
      <w:r w:rsidRPr="00857806">
        <w:rPr>
          <w:rFonts w:asciiTheme="minorHAnsi" w:hAnsiTheme="minorHAnsi"/>
          <w:lang w:eastAsia="en-GB"/>
        </w:rPr>
        <w:t>s</w:t>
      </w:r>
      <w:r w:rsidR="0019617C" w:rsidRPr="00857806">
        <w:rPr>
          <w:rFonts w:asciiTheme="minorHAnsi" w:hAnsiTheme="minorHAnsi"/>
          <w:lang w:eastAsia="en-GB"/>
        </w:rPr>
        <w:t>’</w:t>
      </w:r>
      <w:r w:rsidRPr="00857806">
        <w:rPr>
          <w:rFonts w:asciiTheme="minorHAnsi" w:hAnsiTheme="minorHAnsi"/>
          <w:lang w:eastAsia="en-GB"/>
        </w:rPr>
        <w:t xml:space="preserve"> own forecast activity levels and the contractual inflation. </w:t>
      </w:r>
      <w:r w:rsidR="00B57CE1" w:rsidRPr="00857806">
        <w:rPr>
          <w:rFonts w:asciiTheme="minorHAnsi" w:hAnsiTheme="minorHAnsi"/>
          <w:lang w:eastAsia="en-GB"/>
        </w:rPr>
        <w:t xml:space="preserve">The key long term </w:t>
      </w:r>
      <w:r w:rsidR="00841944" w:rsidRPr="00857806">
        <w:rPr>
          <w:rFonts w:asciiTheme="minorHAnsi" w:hAnsiTheme="minorHAnsi"/>
          <w:lang w:eastAsia="en-GB"/>
        </w:rPr>
        <w:t xml:space="preserve">mitigation of </w:t>
      </w:r>
      <w:r w:rsidR="00B57CE1" w:rsidRPr="00857806">
        <w:rPr>
          <w:rFonts w:asciiTheme="minorHAnsi" w:hAnsiTheme="minorHAnsi"/>
          <w:lang w:eastAsia="en-GB"/>
        </w:rPr>
        <w:t xml:space="preserve">spend and therefore levies is managing the </w:t>
      </w:r>
      <w:r w:rsidR="00147895" w:rsidRPr="00857806">
        <w:rPr>
          <w:rFonts w:asciiTheme="minorHAnsi" w:hAnsiTheme="minorHAnsi"/>
          <w:lang w:eastAsia="en-GB"/>
        </w:rPr>
        <w:t>waste flows</w:t>
      </w:r>
      <w:r w:rsidR="00B57CE1" w:rsidRPr="00857806">
        <w:rPr>
          <w:rFonts w:asciiTheme="minorHAnsi" w:hAnsiTheme="minorHAnsi"/>
          <w:lang w:eastAsia="en-GB"/>
        </w:rPr>
        <w:t>. These are largely</w:t>
      </w:r>
      <w:r w:rsidR="006933A4" w:rsidRPr="00857806">
        <w:rPr>
          <w:rFonts w:asciiTheme="minorHAnsi" w:hAnsiTheme="minorHAnsi"/>
          <w:lang w:eastAsia="en-GB"/>
        </w:rPr>
        <w:t xml:space="preserve"> within the control of boroughs.  The budget for 2024/25 </w:t>
      </w:r>
      <w:r w:rsidR="00B57CE1" w:rsidRPr="00857806">
        <w:rPr>
          <w:rFonts w:asciiTheme="minorHAnsi" w:hAnsiTheme="minorHAnsi"/>
          <w:lang w:eastAsia="en-GB"/>
        </w:rPr>
        <w:t xml:space="preserve">also </w:t>
      </w:r>
      <w:r w:rsidR="003E7272" w:rsidRPr="00857806">
        <w:rPr>
          <w:rFonts w:asciiTheme="minorHAnsi" w:hAnsiTheme="minorHAnsi"/>
          <w:lang w:eastAsia="en-GB"/>
        </w:rPr>
        <w:t>continues to identify the</w:t>
      </w:r>
      <w:r w:rsidR="00B57CE1" w:rsidRPr="00857806">
        <w:rPr>
          <w:rFonts w:asciiTheme="minorHAnsi" w:hAnsiTheme="minorHAnsi"/>
          <w:lang w:eastAsia="en-GB"/>
        </w:rPr>
        <w:t xml:space="preserve"> </w:t>
      </w:r>
      <w:r w:rsidR="00F671DE" w:rsidRPr="00857806">
        <w:rPr>
          <w:rFonts w:asciiTheme="minorHAnsi" w:hAnsiTheme="minorHAnsi"/>
          <w:lang w:eastAsia="en-GB"/>
        </w:rPr>
        <w:t>4</w:t>
      </w:r>
      <w:r w:rsidR="00B57CE1" w:rsidRPr="00857806">
        <w:rPr>
          <w:rFonts w:asciiTheme="minorHAnsi" w:hAnsiTheme="minorHAnsi"/>
          <w:lang w:eastAsia="en-GB"/>
        </w:rPr>
        <w:t xml:space="preserve"> key programmes of work to be met from </w:t>
      </w:r>
      <w:r w:rsidR="00674D25" w:rsidRPr="00857806">
        <w:rPr>
          <w:rFonts w:asciiTheme="minorHAnsi" w:hAnsiTheme="minorHAnsi"/>
          <w:lang w:eastAsia="en-GB"/>
        </w:rPr>
        <w:t xml:space="preserve">the Authority’s share of </w:t>
      </w:r>
      <w:r w:rsidR="00B57CE1" w:rsidRPr="00857806">
        <w:rPr>
          <w:rFonts w:asciiTheme="minorHAnsi" w:hAnsiTheme="minorHAnsi"/>
          <w:lang w:eastAsia="en-GB"/>
        </w:rPr>
        <w:t>PPP income already received.</w:t>
      </w:r>
      <w:r w:rsidR="00147895" w:rsidRPr="00857806">
        <w:rPr>
          <w:rFonts w:asciiTheme="minorHAnsi" w:hAnsiTheme="minorHAnsi"/>
          <w:lang w:eastAsia="en-GB"/>
        </w:rPr>
        <w:t xml:space="preserve">  These programm</w:t>
      </w:r>
      <w:r w:rsidR="003E7272" w:rsidRPr="00857806">
        <w:rPr>
          <w:rFonts w:asciiTheme="minorHAnsi" w:hAnsiTheme="minorHAnsi"/>
          <w:lang w:eastAsia="en-GB"/>
        </w:rPr>
        <w:t>es were established in 2023/24</w:t>
      </w:r>
      <w:r w:rsidR="00147895" w:rsidRPr="00857806">
        <w:rPr>
          <w:rFonts w:asciiTheme="minorHAnsi" w:hAnsiTheme="minorHAnsi"/>
          <w:lang w:eastAsia="en-GB"/>
        </w:rPr>
        <w:t xml:space="preserve"> and there was a</w:t>
      </w:r>
      <w:r w:rsidR="00841944" w:rsidRPr="00857806">
        <w:rPr>
          <w:rFonts w:asciiTheme="minorHAnsi" w:hAnsiTheme="minorHAnsi"/>
          <w:lang w:eastAsia="en-GB"/>
        </w:rPr>
        <w:t xml:space="preserve"> </w:t>
      </w:r>
      <w:r w:rsidR="00F671DE" w:rsidRPr="00857806">
        <w:rPr>
          <w:rFonts w:asciiTheme="minorHAnsi" w:hAnsiTheme="minorHAnsi"/>
          <w:lang w:eastAsia="en-GB"/>
        </w:rPr>
        <w:t xml:space="preserve">total of £2.8 million budget allocated.  In 2023/24 the budget was </w:t>
      </w:r>
      <w:r w:rsidR="00841944" w:rsidRPr="00857806">
        <w:rPr>
          <w:rFonts w:asciiTheme="minorHAnsi" w:hAnsiTheme="minorHAnsi"/>
          <w:lang w:eastAsia="en-GB"/>
        </w:rPr>
        <w:t>£1.1 million</w:t>
      </w:r>
      <w:r w:rsidR="00F671DE" w:rsidRPr="00857806">
        <w:rPr>
          <w:rFonts w:asciiTheme="minorHAnsi" w:hAnsiTheme="minorHAnsi"/>
          <w:lang w:eastAsia="en-GB"/>
        </w:rPr>
        <w:t xml:space="preserve"> and for 2024/25</w:t>
      </w:r>
      <w:r w:rsidR="00147895" w:rsidRPr="00857806">
        <w:rPr>
          <w:rFonts w:asciiTheme="minorHAnsi" w:hAnsiTheme="minorHAnsi"/>
          <w:lang w:eastAsia="en-GB"/>
        </w:rPr>
        <w:t xml:space="preserve"> the budget is at £1.2 million</w:t>
      </w:r>
      <w:r w:rsidR="006933A4" w:rsidRPr="00857806">
        <w:rPr>
          <w:rFonts w:asciiTheme="minorHAnsi" w:hAnsiTheme="minorHAnsi"/>
          <w:lang w:eastAsia="en-GB"/>
        </w:rPr>
        <w:t xml:space="preserve">.  </w:t>
      </w:r>
      <w:r w:rsidR="00B57CE1" w:rsidRPr="00857806">
        <w:rPr>
          <w:rFonts w:asciiTheme="minorHAnsi" w:hAnsiTheme="minorHAnsi"/>
          <w:lang w:eastAsia="en-GB"/>
        </w:rPr>
        <w:t xml:space="preserve">The programmes of work </w:t>
      </w:r>
      <w:r w:rsidR="00DB545D" w:rsidRPr="00857806">
        <w:rPr>
          <w:rFonts w:asciiTheme="minorHAnsi" w:hAnsiTheme="minorHAnsi"/>
          <w:lang w:eastAsia="en-GB"/>
        </w:rPr>
        <w:t>have been developed to</w:t>
      </w:r>
      <w:r w:rsidR="00B57CE1" w:rsidRPr="00857806">
        <w:rPr>
          <w:rFonts w:asciiTheme="minorHAnsi" w:hAnsiTheme="minorHAnsi"/>
          <w:lang w:eastAsia="en-GB"/>
        </w:rPr>
        <w:t xml:space="preserve"> identify interventions where boroughs will see the benefits in their own budgets</w:t>
      </w:r>
      <w:r w:rsidR="00743CD0" w:rsidRPr="00857806">
        <w:rPr>
          <w:rFonts w:asciiTheme="minorHAnsi" w:hAnsiTheme="minorHAnsi"/>
          <w:lang w:eastAsia="en-GB"/>
        </w:rPr>
        <w:t xml:space="preserve"> - essentially spend</w:t>
      </w:r>
      <w:r w:rsidR="00992D99" w:rsidRPr="00857806">
        <w:rPr>
          <w:rFonts w:asciiTheme="minorHAnsi" w:hAnsiTheme="minorHAnsi"/>
          <w:lang w:eastAsia="en-GB"/>
        </w:rPr>
        <w:t xml:space="preserve"> (Authority)</w:t>
      </w:r>
      <w:r w:rsidR="00743CD0" w:rsidRPr="00857806">
        <w:rPr>
          <w:rFonts w:asciiTheme="minorHAnsi" w:hAnsiTheme="minorHAnsi"/>
          <w:lang w:eastAsia="en-GB"/>
        </w:rPr>
        <w:t xml:space="preserve"> to save </w:t>
      </w:r>
      <w:r w:rsidR="00992D99" w:rsidRPr="00857806">
        <w:rPr>
          <w:rFonts w:asciiTheme="minorHAnsi" w:hAnsiTheme="minorHAnsi"/>
          <w:lang w:eastAsia="en-GB"/>
        </w:rPr>
        <w:t xml:space="preserve">(boroughs) </w:t>
      </w:r>
      <w:r w:rsidR="00743CD0" w:rsidRPr="00857806">
        <w:rPr>
          <w:rFonts w:asciiTheme="minorHAnsi" w:hAnsiTheme="minorHAnsi"/>
          <w:lang w:eastAsia="en-GB"/>
        </w:rPr>
        <w:t>programmes.</w:t>
      </w:r>
    </w:p>
    <w:p w14:paraId="0CC77BED" w14:textId="77777777" w:rsidR="00857806" w:rsidRPr="00857806" w:rsidRDefault="00857806" w:rsidP="00256721">
      <w:pPr>
        <w:pStyle w:val="ListParagraph"/>
        <w:spacing w:line="240" w:lineRule="auto"/>
        <w:rPr>
          <w:rFonts w:asciiTheme="minorHAnsi" w:hAnsiTheme="minorHAnsi"/>
          <w:lang w:eastAsia="en-GB"/>
        </w:rPr>
      </w:pPr>
    </w:p>
    <w:p w14:paraId="4334D656" w14:textId="4F05290C" w:rsidR="001F58D7" w:rsidRPr="00857806" w:rsidRDefault="00713A83" w:rsidP="0030376E">
      <w:pPr>
        <w:pStyle w:val="ListParagraph"/>
        <w:numPr>
          <w:ilvl w:val="1"/>
          <w:numId w:val="41"/>
        </w:numPr>
        <w:autoSpaceDE w:val="0"/>
        <w:autoSpaceDN w:val="0"/>
        <w:adjustRightInd w:val="0"/>
        <w:spacing w:before="240" w:after="120" w:line="240" w:lineRule="auto"/>
        <w:jc w:val="both"/>
        <w:rPr>
          <w:rFonts w:asciiTheme="minorHAnsi" w:hAnsiTheme="minorHAnsi"/>
          <w:lang w:eastAsia="en-GB"/>
        </w:rPr>
      </w:pPr>
      <w:r w:rsidRPr="00857806">
        <w:rPr>
          <w:rFonts w:asciiTheme="minorHAnsi" w:hAnsiTheme="minorHAnsi"/>
          <w:lang w:eastAsia="en-GB"/>
        </w:rPr>
        <w:t>The</w:t>
      </w:r>
      <w:r w:rsidR="00F01EF1" w:rsidRPr="00857806">
        <w:rPr>
          <w:rFonts w:asciiTheme="minorHAnsi" w:hAnsiTheme="minorHAnsi"/>
          <w:lang w:eastAsia="en-GB"/>
        </w:rPr>
        <w:t xml:space="preserve"> table </w:t>
      </w:r>
      <w:r w:rsidR="008B3AC3" w:rsidRPr="00857806">
        <w:rPr>
          <w:rFonts w:asciiTheme="minorHAnsi" w:hAnsiTheme="minorHAnsi"/>
          <w:lang w:eastAsia="en-GB"/>
        </w:rPr>
        <w:t>below</w:t>
      </w:r>
      <w:r w:rsidR="002836AE" w:rsidRPr="00857806">
        <w:rPr>
          <w:rFonts w:asciiTheme="minorHAnsi" w:hAnsiTheme="minorHAnsi"/>
          <w:lang w:eastAsia="en-GB"/>
        </w:rPr>
        <w:t xml:space="preserve"> </w:t>
      </w:r>
      <w:r w:rsidR="00F01EF1" w:rsidRPr="00857806">
        <w:rPr>
          <w:rFonts w:asciiTheme="minorHAnsi" w:hAnsiTheme="minorHAnsi"/>
          <w:lang w:eastAsia="en-GB"/>
        </w:rPr>
        <w:t xml:space="preserve">sets out the </w:t>
      </w:r>
      <w:r w:rsidR="00DB545D" w:rsidRPr="00857806">
        <w:rPr>
          <w:rFonts w:asciiTheme="minorHAnsi" w:hAnsiTheme="minorHAnsi"/>
          <w:lang w:eastAsia="en-GB"/>
        </w:rPr>
        <w:t>2024</w:t>
      </w:r>
      <w:r w:rsidR="00F01EF1" w:rsidRPr="00857806">
        <w:rPr>
          <w:rFonts w:asciiTheme="minorHAnsi" w:hAnsiTheme="minorHAnsi"/>
          <w:lang w:eastAsia="en-GB"/>
        </w:rPr>
        <w:t>/</w:t>
      </w:r>
      <w:r w:rsidR="00111D0D" w:rsidRPr="00857806">
        <w:rPr>
          <w:rFonts w:asciiTheme="minorHAnsi" w:hAnsiTheme="minorHAnsi"/>
          <w:lang w:eastAsia="en-GB"/>
        </w:rPr>
        <w:t>2</w:t>
      </w:r>
      <w:r w:rsidR="00DB545D" w:rsidRPr="00857806">
        <w:rPr>
          <w:rFonts w:asciiTheme="minorHAnsi" w:hAnsiTheme="minorHAnsi"/>
          <w:lang w:eastAsia="en-GB"/>
        </w:rPr>
        <w:t>5</w:t>
      </w:r>
      <w:r w:rsidR="00F01EF1" w:rsidRPr="00857806">
        <w:rPr>
          <w:rFonts w:asciiTheme="minorHAnsi" w:hAnsiTheme="minorHAnsi"/>
          <w:lang w:eastAsia="en-GB"/>
        </w:rPr>
        <w:t xml:space="preserve"> budget and the movement from the 20</w:t>
      </w:r>
      <w:r w:rsidR="001356F3" w:rsidRPr="00857806">
        <w:rPr>
          <w:rFonts w:asciiTheme="minorHAnsi" w:hAnsiTheme="minorHAnsi"/>
          <w:lang w:eastAsia="en-GB"/>
        </w:rPr>
        <w:t>2</w:t>
      </w:r>
      <w:r w:rsidR="00DB545D" w:rsidRPr="00857806">
        <w:rPr>
          <w:rFonts w:asciiTheme="minorHAnsi" w:hAnsiTheme="minorHAnsi"/>
          <w:lang w:eastAsia="en-GB"/>
        </w:rPr>
        <w:t>3</w:t>
      </w:r>
      <w:r w:rsidR="00F01EF1" w:rsidRPr="00857806">
        <w:rPr>
          <w:rFonts w:asciiTheme="minorHAnsi" w:hAnsiTheme="minorHAnsi"/>
          <w:lang w:eastAsia="en-GB"/>
        </w:rPr>
        <w:t>/</w:t>
      </w:r>
      <w:r w:rsidR="00FD1817" w:rsidRPr="00857806">
        <w:rPr>
          <w:rFonts w:asciiTheme="minorHAnsi" w:hAnsiTheme="minorHAnsi"/>
          <w:lang w:eastAsia="en-GB"/>
        </w:rPr>
        <w:t>2</w:t>
      </w:r>
      <w:r w:rsidR="00DB545D" w:rsidRPr="00857806">
        <w:rPr>
          <w:rFonts w:asciiTheme="minorHAnsi" w:hAnsiTheme="minorHAnsi"/>
          <w:lang w:eastAsia="en-GB"/>
        </w:rPr>
        <w:t>4</w:t>
      </w:r>
      <w:r w:rsidR="00111D0D" w:rsidRPr="00857806">
        <w:rPr>
          <w:rFonts w:asciiTheme="minorHAnsi" w:hAnsiTheme="minorHAnsi"/>
          <w:lang w:eastAsia="en-GB"/>
        </w:rPr>
        <w:t xml:space="preserve"> </w:t>
      </w:r>
      <w:r w:rsidR="00F01EF1" w:rsidRPr="00857806">
        <w:rPr>
          <w:rFonts w:asciiTheme="minorHAnsi" w:hAnsiTheme="minorHAnsi"/>
          <w:lang w:eastAsia="en-GB"/>
        </w:rPr>
        <w:t xml:space="preserve">budget. The </w:t>
      </w:r>
      <w:r w:rsidR="00690C05" w:rsidRPr="00857806">
        <w:rPr>
          <w:rFonts w:asciiTheme="minorHAnsi" w:hAnsiTheme="minorHAnsi"/>
          <w:lang w:eastAsia="en-GB"/>
        </w:rPr>
        <w:t xml:space="preserve">latest </w:t>
      </w:r>
      <w:r w:rsidR="00F01EF1" w:rsidRPr="00857806">
        <w:rPr>
          <w:rFonts w:asciiTheme="minorHAnsi" w:hAnsiTheme="minorHAnsi"/>
          <w:lang w:eastAsia="en-GB"/>
        </w:rPr>
        <w:t>20</w:t>
      </w:r>
      <w:r w:rsidR="001356F3" w:rsidRPr="00857806">
        <w:rPr>
          <w:rFonts w:asciiTheme="minorHAnsi" w:hAnsiTheme="minorHAnsi"/>
          <w:lang w:eastAsia="en-GB"/>
        </w:rPr>
        <w:t>2</w:t>
      </w:r>
      <w:r w:rsidR="00DB545D" w:rsidRPr="00857806">
        <w:rPr>
          <w:rFonts w:asciiTheme="minorHAnsi" w:hAnsiTheme="minorHAnsi"/>
          <w:lang w:eastAsia="en-GB"/>
        </w:rPr>
        <w:t>3</w:t>
      </w:r>
      <w:r w:rsidR="00F01EF1" w:rsidRPr="00857806">
        <w:rPr>
          <w:rFonts w:asciiTheme="minorHAnsi" w:hAnsiTheme="minorHAnsi"/>
          <w:lang w:eastAsia="en-GB"/>
        </w:rPr>
        <w:t>/</w:t>
      </w:r>
      <w:r w:rsidR="00677320" w:rsidRPr="00857806">
        <w:rPr>
          <w:rFonts w:asciiTheme="minorHAnsi" w:hAnsiTheme="minorHAnsi"/>
          <w:lang w:eastAsia="en-GB"/>
        </w:rPr>
        <w:t>2</w:t>
      </w:r>
      <w:r w:rsidR="00DB545D" w:rsidRPr="00857806">
        <w:rPr>
          <w:rFonts w:asciiTheme="minorHAnsi" w:hAnsiTheme="minorHAnsi"/>
          <w:lang w:eastAsia="en-GB"/>
        </w:rPr>
        <w:t>4</w:t>
      </w:r>
      <w:r w:rsidR="00F01EF1" w:rsidRPr="00857806">
        <w:rPr>
          <w:rFonts w:asciiTheme="minorHAnsi" w:hAnsiTheme="minorHAnsi"/>
          <w:lang w:eastAsia="en-GB"/>
        </w:rPr>
        <w:t xml:space="preserve"> forecast is also included to provide context and illustrate the current level of activity.</w:t>
      </w:r>
      <w:r w:rsidR="00040B54" w:rsidRPr="00857806">
        <w:rPr>
          <w:rFonts w:asciiTheme="minorHAnsi" w:hAnsiTheme="minorHAnsi"/>
          <w:lang w:eastAsia="en-GB"/>
        </w:rPr>
        <w:t xml:space="preserve"> The spend lines have also been split out to </w:t>
      </w:r>
      <w:r w:rsidR="004B2BAE" w:rsidRPr="00857806">
        <w:rPr>
          <w:rFonts w:asciiTheme="minorHAnsi" w:hAnsiTheme="minorHAnsi"/>
          <w:lang w:eastAsia="en-GB"/>
        </w:rPr>
        <w:t xml:space="preserve">separate </w:t>
      </w:r>
      <w:r w:rsidR="00040B54" w:rsidRPr="00857806">
        <w:rPr>
          <w:rFonts w:asciiTheme="minorHAnsi" w:hAnsiTheme="minorHAnsi"/>
          <w:lang w:eastAsia="en-GB"/>
        </w:rPr>
        <w:t xml:space="preserve">spend from business as usual activities and </w:t>
      </w:r>
      <w:r w:rsidR="004B2BAE" w:rsidRPr="00857806">
        <w:rPr>
          <w:rFonts w:asciiTheme="minorHAnsi" w:hAnsiTheme="minorHAnsi"/>
          <w:lang w:eastAsia="en-GB"/>
        </w:rPr>
        <w:t xml:space="preserve">those </w:t>
      </w:r>
      <w:r w:rsidR="00040B54" w:rsidRPr="00857806">
        <w:rPr>
          <w:rFonts w:asciiTheme="minorHAnsi" w:hAnsiTheme="minorHAnsi"/>
          <w:lang w:eastAsia="en-GB"/>
        </w:rPr>
        <w:t xml:space="preserve">from </w:t>
      </w:r>
      <w:r w:rsidR="00E70988" w:rsidRPr="00857806">
        <w:rPr>
          <w:rFonts w:asciiTheme="minorHAnsi" w:hAnsiTheme="minorHAnsi"/>
          <w:lang w:eastAsia="en-GB"/>
        </w:rPr>
        <w:t>the programme of work funded by PPP income</w:t>
      </w:r>
      <w:r w:rsidR="004B2BAE" w:rsidRPr="00857806">
        <w:rPr>
          <w:rFonts w:asciiTheme="minorHAnsi" w:hAnsiTheme="minorHAnsi"/>
          <w:lang w:eastAsia="en-GB"/>
        </w:rPr>
        <w:t>, providing better transparency</w:t>
      </w:r>
      <w:r w:rsidR="00040B54" w:rsidRPr="00857806">
        <w:rPr>
          <w:rFonts w:asciiTheme="minorHAnsi" w:hAnsiTheme="minorHAnsi"/>
          <w:lang w:eastAsia="en-GB"/>
        </w:rPr>
        <w:t>.</w:t>
      </w:r>
    </w:p>
    <w:p w14:paraId="69CC2D32" w14:textId="28536A3D" w:rsidR="001D52A0" w:rsidRDefault="001D52A0" w:rsidP="0089589B">
      <w:pPr>
        <w:autoSpaceDE w:val="0"/>
        <w:autoSpaceDN w:val="0"/>
        <w:adjustRightInd w:val="0"/>
        <w:spacing w:before="240" w:after="120"/>
        <w:jc w:val="both"/>
        <w:rPr>
          <w:rFonts w:asciiTheme="minorHAnsi" w:hAnsiTheme="minorHAnsi" w:cs="Arial"/>
          <w:sz w:val="22"/>
          <w:szCs w:val="22"/>
          <w:lang w:eastAsia="en-GB"/>
        </w:rPr>
      </w:pPr>
    </w:p>
    <w:p w14:paraId="231F5E5C" w14:textId="0573ABBE" w:rsidR="00256721" w:rsidRDefault="00256721" w:rsidP="0089589B">
      <w:pPr>
        <w:autoSpaceDE w:val="0"/>
        <w:autoSpaceDN w:val="0"/>
        <w:adjustRightInd w:val="0"/>
        <w:spacing w:before="240" w:after="120"/>
        <w:jc w:val="both"/>
        <w:rPr>
          <w:rFonts w:asciiTheme="minorHAnsi" w:hAnsiTheme="minorHAnsi" w:cs="Arial"/>
          <w:sz w:val="22"/>
          <w:szCs w:val="22"/>
          <w:lang w:eastAsia="en-GB"/>
        </w:rPr>
      </w:pPr>
    </w:p>
    <w:p w14:paraId="419053F7" w14:textId="58F2108F" w:rsidR="00256721" w:rsidRDefault="00256721" w:rsidP="0089589B">
      <w:pPr>
        <w:autoSpaceDE w:val="0"/>
        <w:autoSpaceDN w:val="0"/>
        <w:adjustRightInd w:val="0"/>
        <w:spacing w:before="240" w:after="120"/>
        <w:jc w:val="both"/>
        <w:rPr>
          <w:rFonts w:asciiTheme="minorHAnsi" w:hAnsiTheme="minorHAnsi" w:cs="Arial"/>
          <w:sz w:val="22"/>
          <w:szCs w:val="22"/>
          <w:lang w:eastAsia="en-GB"/>
        </w:rPr>
      </w:pPr>
    </w:p>
    <w:p w14:paraId="59721204" w14:textId="082A1C04" w:rsidR="00256721" w:rsidRDefault="00256721" w:rsidP="0089589B">
      <w:pPr>
        <w:autoSpaceDE w:val="0"/>
        <w:autoSpaceDN w:val="0"/>
        <w:adjustRightInd w:val="0"/>
        <w:spacing w:before="240" w:after="120"/>
        <w:jc w:val="both"/>
        <w:rPr>
          <w:rFonts w:asciiTheme="minorHAnsi" w:hAnsiTheme="minorHAnsi" w:cs="Arial"/>
          <w:sz w:val="22"/>
          <w:szCs w:val="22"/>
          <w:lang w:eastAsia="en-GB"/>
        </w:rPr>
      </w:pPr>
    </w:p>
    <w:p w14:paraId="528182E5" w14:textId="4D8762EF" w:rsidR="00256721" w:rsidRDefault="00256721" w:rsidP="0089589B">
      <w:pPr>
        <w:autoSpaceDE w:val="0"/>
        <w:autoSpaceDN w:val="0"/>
        <w:adjustRightInd w:val="0"/>
        <w:spacing w:before="240" w:after="120"/>
        <w:jc w:val="both"/>
        <w:rPr>
          <w:rFonts w:asciiTheme="minorHAnsi" w:hAnsiTheme="minorHAnsi" w:cs="Arial"/>
          <w:sz w:val="22"/>
          <w:szCs w:val="22"/>
          <w:lang w:eastAsia="en-GB"/>
        </w:rPr>
      </w:pPr>
    </w:p>
    <w:p w14:paraId="5DEB3933" w14:textId="23FE3338" w:rsidR="00256721" w:rsidRDefault="00256721" w:rsidP="0089589B">
      <w:pPr>
        <w:autoSpaceDE w:val="0"/>
        <w:autoSpaceDN w:val="0"/>
        <w:adjustRightInd w:val="0"/>
        <w:spacing w:before="240" w:after="120"/>
        <w:jc w:val="both"/>
        <w:rPr>
          <w:rFonts w:asciiTheme="minorHAnsi" w:hAnsiTheme="minorHAnsi" w:cs="Arial"/>
          <w:sz w:val="22"/>
          <w:szCs w:val="22"/>
          <w:lang w:eastAsia="en-GB"/>
        </w:rPr>
      </w:pPr>
    </w:p>
    <w:p w14:paraId="69FFAF14" w14:textId="77777777" w:rsidR="00256721" w:rsidRPr="001D52A0" w:rsidRDefault="00256721" w:rsidP="0089589B">
      <w:pPr>
        <w:autoSpaceDE w:val="0"/>
        <w:autoSpaceDN w:val="0"/>
        <w:adjustRightInd w:val="0"/>
        <w:spacing w:before="240" w:after="120"/>
        <w:jc w:val="both"/>
        <w:rPr>
          <w:rFonts w:asciiTheme="minorHAnsi" w:hAnsiTheme="minorHAnsi" w:cs="Arial"/>
          <w:sz w:val="22"/>
          <w:szCs w:val="22"/>
          <w:lang w:eastAsia="en-GB"/>
        </w:rPr>
      </w:pPr>
    </w:p>
    <w:p w14:paraId="5A7EC8B6" w14:textId="4CE6D9B7" w:rsidR="001D52A0" w:rsidRPr="001D52A0" w:rsidRDefault="001D52A0" w:rsidP="0089589B">
      <w:pPr>
        <w:autoSpaceDE w:val="0"/>
        <w:autoSpaceDN w:val="0"/>
        <w:adjustRightInd w:val="0"/>
        <w:spacing w:before="240" w:after="120"/>
        <w:jc w:val="both"/>
        <w:rPr>
          <w:rFonts w:asciiTheme="minorHAnsi" w:hAnsiTheme="minorHAnsi" w:cs="Arial"/>
          <w:sz w:val="22"/>
          <w:szCs w:val="22"/>
          <w:lang w:eastAsia="en-GB"/>
        </w:rPr>
      </w:pPr>
    </w:p>
    <w:p w14:paraId="4F3B1506" w14:textId="28A27553" w:rsidR="001D52A0" w:rsidRPr="001D52A0" w:rsidRDefault="001D52A0" w:rsidP="0089589B">
      <w:pPr>
        <w:autoSpaceDE w:val="0"/>
        <w:autoSpaceDN w:val="0"/>
        <w:adjustRightInd w:val="0"/>
        <w:spacing w:before="240" w:after="120"/>
        <w:jc w:val="both"/>
        <w:rPr>
          <w:rFonts w:asciiTheme="minorHAnsi" w:hAnsiTheme="minorHAnsi" w:cs="Arial"/>
          <w:sz w:val="22"/>
          <w:szCs w:val="22"/>
          <w:lang w:eastAsia="en-GB"/>
        </w:rPr>
      </w:pPr>
    </w:p>
    <w:tbl>
      <w:tblPr>
        <w:tblW w:w="9418" w:type="dxa"/>
        <w:jc w:val="center"/>
        <w:tblLayout w:type="fixed"/>
        <w:tblLook w:val="04A0" w:firstRow="1" w:lastRow="0" w:firstColumn="1" w:lastColumn="0" w:noHBand="0" w:noVBand="1"/>
      </w:tblPr>
      <w:tblGrid>
        <w:gridCol w:w="3974"/>
        <w:gridCol w:w="1361"/>
        <w:gridCol w:w="1361"/>
        <w:gridCol w:w="1361"/>
        <w:gridCol w:w="1361"/>
      </w:tblGrid>
      <w:tr w:rsidR="009751DA" w:rsidRPr="001D52A0" w14:paraId="17C2B963" w14:textId="77777777" w:rsidTr="00D07C7F">
        <w:trPr>
          <w:jc w:val="center"/>
        </w:trPr>
        <w:tc>
          <w:tcPr>
            <w:tcW w:w="39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D44217" w14:textId="77777777" w:rsidR="009751DA" w:rsidRPr="001D52A0" w:rsidRDefault="009751DA" w:rsidP="00D07C7F">
            <w:pPr>
              <w:spacing w:line="240" w:lineRule="exact"/>
              <w:rPr>
                <w:rFonts w:asciiTheme="minorHAnsi" w:hAnsiTheme="minorHAnsi" w:cs="Arial"/>
                <w:b/>
                <w:bCs/>
                <w:color w:val="000000"/>
                <w:sz w:val="22"/>
                <w:szCs w:val="22"/>
                <w:lang w:eastAsia="en-GB"/>
              </w:rPr>
            </w:pPr>
            <w:r w:rsidRPr="001D52A0">
              <w:rPr>
                <w:rFonts w:asciiTheme="minorHAnsi" w:hAnsiTheme="minorHAnsi" w:cs="Arial"/>
                <w:b/>
                <w:bCs/>
                <w:color w:val="000000"/>
                <w:sz w:val="22"/>
                <w:szCs w:val="22"/>
                <w:lang w:eastAsia="en-GB"/>
              </w:rPr>
              <w:t> </w:t>
            </w:r>
          </w:p>
        </w:tc>
        <w:tc>
          <w:tcPr>
            <w:tcW w:w="1361" w:type="dxa"/>
            <w:tcBorders>
              <w:top w:val="single" w:sz="4" w:space="0" w:color="auto"/>
              <w:left w:val="single" w:sz="4" w:space="0" w:color="auto"/>
              <w:bottom w:val="single" w:sz="4" w:space="0" w:color="auto"/>
              <w:right w:val="single" w:sz="4" w:space="0" w:color="auto"/>
            </w:tcBorders>
            <w:vAlign w:val="bottom"/>
          </w:tcPr>
          <w:p w14:paraId="15F8399C" w14:textId="7974D552" w:rsidR="009751DA" w:rsidRPr="001D52A0" w:rsidRDefault="00D25284" w:rsidP="005F2A6E">
            <w:pPr>
              <w:spacing w:line="240" w:lineRule="exact"/>
              <w:rPr>
                <w:rFonts w:asciiTheme="minorHAnsi" w:hAnsiTheme="minorHAnsi" w:cs="Arial"/>
                <w:b/>
                <w:bCs/>
                <w:color w:val="000000"/>
                <w:sz w:val="22"/>
                <w:szCs w:val="22"/>
                <w:lang w:eastAsia="en-GB"/>
              </w:rPr>
            </w:pPr>
            <w:r w:rsidRPr="001D52A0">
              <w:rPr>
                <w:rFonts w:asciiTheme="minorHAnsi" w:hAnsiTheme="minorHAnsi" w:cs="Arial"/>
                <w:b/>
                <w:bCs/>
                <w:color w:val="000000"/>
                <w:sz w:val="22"/>
                <w:szCs w:val="22"/>
                <w:lang w:eastAsia="en-GB"/>
              </w:rPr>
              <w:t>2023-24</w:t>
            </w:r>
            <w:r w:rsidR="009751DA" w:rsidRPr="001D52A0">
              <w:rPr>
                <w:rFonts w:asciiTheme="minorHAnsi" w:hAnsiTheme="minorHAnsi" w:cs="Arial"/>
                <w:b/>
                <w:bCs/>
                <w:color w:val="000000"/>
                <w:sz w:val="22"/>
                <w:szCs w:val="22"/>
                <w:lang w:eastAsia="en-GB"/>
              </w:rPr>
              <w:t xml:space="preserve"> budget </w:t>
            </w:r>
          </w:p>
          <w:p w14:paraId="6EC6D38F" w14:textId="77777777" w:rsidR="009751DA" w:rsidRPr="001D52A0" w:rsidRDefault="009751DA" w:rsidP="005F2A6E">
            <w:pPr>
              <w:spacing w:line="240" w:lineRule="exact"/>
              <w:rPr>
                <w:rFonts w:asciiTheme="minorHAnsi" w:hAnsiTheme="minorHAnsi" w:cs="Arial"/>
                <w:b/>
                <w:bCs/>
                <w:color w:val="000000"/>
                <w:sz w:val="22"/>
                <w:szCs w:val="22"/>
                <w:lang w:eastAsia="en-GB"/>
              </w:rPr>
            </w:pPr>
            <w:r w:rsidRPr="001D52A0">
              <w:rPr>
                <w:rFonts w:asciiTheme="minorHAnsi" w:hAnsiTheme="minorHAnsi" w:cs="Arial"/>
                <w:b/>
                <w:bCs/>
                <w:color w:val="000000"/>
                <w:sz w:val="22"/>
                <w:szCs w:val="22"/>
                <w:lang w:eastAsia="en-GB"/>
              </w:rPr>
              <w:t>£ 000’s</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bottom"/>
          </w:tcPr>
          <w:p w14:paraId="5CAF1680" w14:textId="7475AEE1" w:rsidR="009751DA" w:rsidRPr="001D52A0" w:rsidRDefault="00D25284" w:rsidP="005F2A6E">
            <w:pPr>
              <w:spacing w:line="240" w:lineRule="exact"/>
              <w:rPr>
                <w:rFonts w:asciiTheme="minorHAnsi" w:hAnsiTheme="minorHAnsi" w:cs="Arial"/>
                <w:b/>
                <w:bCs/>
                <w:color w:val="000000"/>
                <w:sz w:val="22"/>
                <w:szCs w:val="22"/>
                <w:lang w:eastAsia="en-GB"/>
              </w:rPr>
            </w:pPr>
            <w:r w:rsidRPr="001D52A0">
              <w:rPr>
                <w:rFonts w:asciiTheme="minorHAnsi" w:hAnsiTheme="minorHAnsi" w:cs="Arial"/>
                <w:b/>
                <w:bCs/>
                <w:color w:val="000000"/>
                <w:sz w:val="22"/>
                <w:szCs w:val="22"/>
                <w:lang w:eastAsia="en-GB"/>
              </w:rPr>
              <w:t>2023-24</w:t>
            </w:r>
            <w:r w:rsidR="009751DA" w:rsidRPr="001D52A0">
              <w:rPr>
                <w:rFonts w:asciiTheme="minorHAnsi" w:hAnsiTheme="minorHAnsi" w:cs="Arial"/>
                <w:b/>
                <w:bCs/>
                <w:color w:val="000000"/>
                <w:sz w:val="22"/>
                <w:szCs w:val="22"/>
                <w:lang w:eastAsia="en-GB"/>
              </w:rPr>
              <w:t xml:space="preserve"> forecast      £ 000’s</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14:paraId="43FF0896" w14:textId="133C18A7" w:rsidR="009751DA" w:rsidRPr="001D52A0" w:rsidRDefault="00D25284" w:rsidP="005F2A6E">
            <w:pPr>
              <w:spacing w:line="240" w:lineRule="exact"/>
              <w:rPr>
                <w:rFonts w:asciiTheme="minorHAnsi" w:hAnsiTheme="minorHAnsi" w:cs="Arial"/>
                <w:b/>
                <w:bCs/>
                <w:color w:val="000000"/>
                <w:sz w:val="22"/>
                <w:szCs w:val="22"/>
                <w:lang w:eastAsia="en-GB"/>
              </w:rPr>
            </w:pPr>
            <w:r w:rsidRPr="001D52A0">
              <w:rPr>
                <w:rFonts w:asciiTheme="minorHAnsi" w:hAnsiTheme="minorHAnsi" w:cs="Arial"/>
                <w:b/>
                <w:bCs/>
                <w:color w:val="000000"/>
                <w:sz w:val="22"/>
                <w:szCs w:val="22"/>
                <w:lang w:eastAsia="en-GB"/>
              </w:rPr>
              <w:t>2024-25</w:t>
            </w:r>
            <w:r w:rsidR="009751DA" w:rsidRPr="001D52A0">
              <w:rPr>
                <w:rFonts w:asciiTheme="minorHAnsi" w:hAnsiTheme="minorHAnsi" w:cs="Arial"/>
                <w:b/>
                <w:bCs/>
                <w:color w:val="000000"/>
                <w:sz w:val="22"/>
                <w:szCs w:val="22"/>
                <w:lang w:eastAsia="en-GB"/>
              </w:rPr>
              <w:t xml:space="preserve"> budget </w:t>
            </w:r>
          </w:p>
          <w:p w14:paraId="29F94566" w14:textId="77777777" w:rsidR="009751DA" w:rsidRPr="001D52A0" w:rsidRDefault="009751DA" w:rsidP="005F2A6E">
            <w:pPr>
              <w:spacing w:line="240" w:lineRule="exact"/>
              <w:rPr>
                <w:rFonts w:asciiTheme="minorHAnsi" w:hAnsiTheme="minorHAnsi" w:cs="Arial"/>
                <w:b/>
                <w:bCs/>
                <w:color w:val="000000"/>
                <w:sz w:val="22"/>
                <w:szCs w:val="22"/>
                <w:lang w:eastAsia="en-GB"/>
              </w:rPr>
            </w:pPr>
            <w:r w:rsidRPr="001D52A0">
              <w:rPr>
                <w:rFonts w:asciiTheme="minorHAnsi" w:hAnsiTheme="minorHAnsi" w:cs="Arial"/>
                <w:b/>
                <w:bCs/>
                <w:color w:val="000000"/>
                <w:sz w:val="22"/>
                <w:szCs w:val="22"/>
                <w:lang w:eastAsia="en-GB"/>
              </w:rPr>
              <w:t>£ 000’s</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14:paraId="5AE82AE7" w14:textId="77777777" w:rsidR="009751DA" w:rsidRPr="001D52A0" w:rsidRDefault="009751DA" w:rsidP="005F2A6E">
            <w:pPr>
              <w:spacing w:line="240" w:lineRule="exact"/>
              <w:rPr>
                <w:rFonts w:asciiTheme="minorHAnsi" w:hAnsiTheme="minorHAnsi" w:cs="Arial"/>
                <w:b/>
                <w:bCs/>
                <w:color w:val="000000"/>
                <w:sz w:val="22"/>
                <w:szCs w:val="22"/>
                <w:lang w:eastAsia="en-GB"/>
              </w:rPr>
            </w:pPr>
            <w:r w:rsidRPr="001D52A0">
              <w:rPr>
                <w:rFonts w:asciiTheme="minorHAnsi" w:hAnsiTheme="minorHAnsi" w:cs="Arial"/>
                <w:b/>
                <w:bCs/>
                <w:color w:val="000000"/>
                <w:sz w:val="22"/>
                <w:szCs w:val="22"/>
                <w:lang w:eastAsia="en-GB"/>
              </w:rPr>
              <w:t>Changes in budgets      £ 000’s</w:t>
            </w:r>
          </w:p>
        </w:tc>
      </w:tr>
      <w:tr w:rsidR="009751DA" w:rsidRPr="001D52A0" w14:paraId="556D754F" w14:textId="77777777" w:rsidTr="00D07C7F">
        <w:trPr>
          <w:jc w:val="center"/>
        </w:trPr>
        <w:tc>
          <w:tcPr>
            <w:tcW w:w="3974" w:type="dxa"/>
            <w:tcBorders>
              <w:top w:val="single" w:sz="4" w:space="0" w:color="auto"/>
              <w:left w:val="single" w:sz="4" w:space="0" w:color="auto"/>
              <w:bottom w:val="single" w:sz="4" w:space="0" w:color="auto"/>
            </w:tcBorders>
            <w:shd w:val="clear" w:color="auto" w:fill="auto"/>
            <w:noWrap/>
            <w:vAlign w:val="bottom"/>
            <w:hideMark/>
          </w:tcPr>
          <w:p w14:paraId="244EB9CC" w14:textId="77777777" w:rsidR="009751DA" w:rsidRPr="001D52A0" w:rsidRDefault="00F211E6" w:rsidP="00D07C7F">
            <w:pPr>
              <w:spacing w:line="240" w:lineRule="exact"/>
              <w:rPr>
                <w:rFonts w:asciiTheme="minorHAnsi" w:hAnsiTheme="minorHAnsi" w:cs="Arial"/>
                <w:b/>
                <w:bCs/>
                <w:color w:val="000000"/>
                <w:sz w:val="22"/>
                <w:szCs w:val="22"/>
                <w:lang w:eastAsia="en-GB"/>
              </w:rPr>
            </w:pPr>
            <w:r w:rsidRPr="001D52A0">
              <w:rPr>
                <w:rFonts w:asciiTheme="minorHAnsi" w:hAnsiTheme="minorHAnsi" w:cs="Arial"/>
                <w:b/>
                <w:bCs/>
                <w:color w:val="000000"/>
                <w:sz w:val="22"/>
                <w:szCs w:val="22"/>
                <w:lang w:eastAsia="en-GB"/>
              </w:rPr>
              <w:t xml:space="preserve">Business As Usual </w:t>
            </w:r>
            <w:r w:rsidR="009751DA" w:rsidRPr="001D52A0">
              <w:rPr>
                <w:rFonts w:asciiTheme="minorHAnsi" w:hAnsiTheme="minorHAnsi" w:cs="Arial"/>
                <w:b/>
                <w:bCs/>
                <w:color w:val="000000"/>
                <w:sz w:val="22"/>
                <w:szCs w:val="22"/>
                <w:lang w:eastAsia="en-GB"/>
              </w:rPr>
              <w:t>Costs</w:t>
            </w:r>
          </w:p>
        </w:tc>
        <w:tc>
          <w:tcPr>
            <w:tcW w:w="1361" w:type="dxa"/>
            <w:tcBorders>
              <w:top w:val="nil"/>
              <w:left w:val="nil"/>
              <w:bottom w:val="single" w:sz="4" w:space="0" w:color="auto"/>
              <w:right w:val="nil"/>
            </w:tcBorders>
            <w:vAlign w:val="bottom"/>
          </w:tcPr>
          <w:p w14:paraId="7B3A8EBD" w14:textId="77777777" w:rsidR="009751DA" w:rsidRPr="001D52A0" w:rsidRDefault="009751DA" w:rsidP="00D07C7F">
            <w:pPr>
              <w:spacing w:line="240" w:lineRule="exact"/>
              <w:rPr>
                <w:rFonts w:asciiTheme="minorHAnsi" w:hAnsiTheme="minorHAnsi" w:cs="Arial"/>
                <w:b/>
                <w:bCs/>
                <w:color w:val="000000"/>
                <w:sz w:val="22"/>
                <w:szCs w:val="22"/>
                <w:lang w:eastAsia="en-GB"/>
              </w:rPr>
            </w:pPr>
            <w:r w:rsidRPr="001D52A0">
              <w:rPr>
                <w:rFonts w:asciiTheme="minorHAnsi" w:hAnsiTheme="minorHAnsi" w:cs="Arial"/>
                <w:b/>
                <w:bCs/>
                <w:color w:val="000000"/>
                <w:sz w:val="22"/>
                <w:szCs w:val="22"/>
                <w:lang w:eastAsia="en-GB"/>
              </w:rPr>
              <w:t> </w:t>
            </w:r>
          </w:p>
        </w:tc>
        <w:tc>
          <w:tcPr>
            <w:tcW w:w="1361" w:type="dxa"/>
            <w:tcBorders>
              <w:top w:val="nil"/>
              <w:left w:val="nil"/>
              <w:bottom w:val="single" w:sz="4" w:space="0" w:color="auto"/>
            </w:tcBorders>
            <w:shd w:val="clear" w:color="auto" w:fill="auto"/>
            <w:vAlign w:val="bottom"/>
          </w:tcPr>
          <w:p w14:paraId="1082DB61" w14:textId="77777777" w:rsidR="009751DA" w:rsidRPr="001D52A0" w:rsidRDefault="009751DA" w:rsidP="00D07C7F">
            <w:pPr>
              <w:spacing w:line="240" w:lineRule="exact"/>
              <w:rPr>
                <w:rFonts w:asciiTheme="minorHAnsi" w:hAnsiTheme="minorHAnsi" w:cs="Arial"/>
                <w:b/>
                <w:bCs/>
                <w:color w:val="000000"/>
                <w:sz w:val="22"/>
                <w:szCs w:val="22"/>
                <w:lang w:eastAsia="en-GB"/>
              </w:rPr>
            </w:pPr>
            <w:r w:rsidRPr="001D52A0">
              <w:rPr>
                <w:rFonts w:asciiTheme="minorHAnsi" w:hAnsiTheme="minorHAnsi" w:cs="Arial"/>
                <w:b/>
                <w:bCs/>
                <w:color w:val="000000"/>
                <w:sz w:val="22"/>
                <w:szCs w:val="22"/>
                <w:lang w:eastAsia="en-GB"/>
              </w:rPr>
              <w:t> </w:t>
            </w:r>
          </w:p>
        </w:tc>
        <w:tc>
          <w:tcPr>
            <w:tcW w:w="1361" w:type="dxa"/>
            <w:tcBorders>
              <w:top w:val="nil"/>
              <w:left w:val="nil"/>
              <w:bottom w:val="single" w:sz="4" w:space="0" w:color="auto"/>
              <w:right w:val="nil"/>
            </w:tcBorders>
            <w:shd w:val="clear" w:color="auto" w:fill="auto"/>
            <w:noWrap/>
            <w:vAlign w:val="bottom"/>
            <w:hideMark/>
          </w:tcPr>
          <w:p w14:paraId="0726CF50" w14:textId="77777777" w:rsidR="009751DA" w:rsidRPr="001D52A0" w:rsidRDefault="009751DA" w:rsidP="00D07C7F">
            <w:pPr>
              <w:spacing w:line="240" w:lineRule="exact"/>
              <w:rPr>
                <w:rFonts w:asciiTheme="minorHAnsi" w:hAnsiTheme="minorHAnsi" w:cs="Arial"/>
                <w:b/>
                <w:bCs/>
                <w:color w:val="000000"/>
                <w:sz w:val="22"/>
                <w:szCs w:val="22"/>
                <w:lang w:eastAsia="en-GB"/>
              </w:rPr>
            </w:pPr>
            <w:r w:rsidRPr="001D52A0">
              <w:rPr>
                <w:rFonts w:asciiTheme="minorHAnsi" w:hAnsiTheme="minorHAnsi" w:cs="Arial"/>
                <w:b/>
                <w:bCs/>
                <w:color w:val="000000"/>
                <w:sz w:val="22"/>
                <w:szCs w:val="22"/>
                <w:lang w:eastAsia="en-GB"/>
              </w:rPr>
              <w:t> </w:t>
            </w:r>
          </w:p>
        </w:tc>
        <w:tc>
          <w:tcPr>
            <w:tcW w:w="1361" w:type="dxa"/>
            <w:tcBorders>
              <w:top w:val="nil"/>
              <w:left w:val="nil"/>
              <w:bottom w:val="single" w:sz="4" w:space="0" w:color="auto"/>
              <w:right w:val="single" w:sz="4" w:space="0" w:color="auto"/>
            </w:tcBorders>
            <w:shd w:val="clear" w:color="auto" w:fill="auto"/>
            <w:noWrap/>
            <w:vAlign w:val="bottom"/>
            <w:hideMark/>
          </w:tcPr>
          <w:p w14:paraId="76EBF6F1" w14:textId="77777777" w:rsidR="009751DA" w:rsidRPr="001D52A0" w:rsidRDefault="009751DA" w:rsidP="00D07C7F">
            <w:pPr>
              <w:spacing w:line="240" w:lineRule="exact"/>
              <w:rPr>
                <w:rFonts w:asciiTheme="minorHAnsi" w:hAnsiTheme="minorHAnsi" w:cs="Arial"/>
                <w:b/>
                <w:bCs/>
                <w:color w:val="000000"/>
                <w:sz w:val="22"/>
                <w:szCs w:val="22"/>
                <w:lang w:eastAsia="en-GB"/>
              </w:rPr>
            </w:pPr>
            <w:r w:rsidRPr="001D52A0">
              <w:rPr>
                <w:rFonts w:asciiTheme="minorHAnsi" w:hAnsiTheme="minorHAnsi" w:cs="Arial"/>
                <w:b/>
                <w:bCs/>
                <w:color w:val="000000"/>
                <w:sz w:val="22"/>
                <w:szCs w:val="22"/>
                <w:lang w:eastAsia="en-GB"/>
              </w:rPr>
              <w:t> </w:t>
            </w:r>
          </w:p>
        </w:tc>
      </w:tr>
      <w:tr w:rsidR="00DB545D" w:rsidRPr="001D52A0" w14:paraId="7EC3A3B6" w14:textId="77777777" w:rsidTr="00D07C7F">
        <w:trPr>
          <w:jc w:val="center"/>
        </w:trPr>
        <w:tc>
          <w:tcPr>
            <w:tcW w:w="3974" w:type="dxa"/>
            <w:tcBorders>
              <w:top w:val="nil"/>
              <w:left w:val="single" w:sz="4" w:space="0" w:color="auto"/>
              <w:bottom w:val="single" w:sz="4" w:space="0" w:color="auto"/>
              <w:right w:val="single" w:sz="4" w:space="0" w:color="auto"/>
            </w:tcBorders>
            <w:shd w:val="clear" w:color="auto" w:fill="auto"/>
            <w:vAlign w:val="center"/>
            <w:hideMark/>
          </w:tcPr>
          <w:p w14:paraId="633A37FB" w14:textId="77777777" w:rsidR="00DB545D" w:rsidRPr="001D52A0" w:rsidRDefault="00DB545D" w:rsidP="00D07C7F">
            <w:pPr>
              <w:spacing w:line="240" w:lineRule="exac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WTD - Waste Transport and Disposal</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4B8281AF" w14:textId="77777777" w:rsidR="00DB545D" w:rsidRPr="001D52A0" w:rsidRDefault="00DB545D"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51,531</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68B5E6D2" w14:textId="77777777" w:rsidR="00DB545D" w:rsidRPr="001D52A0" w:rsidRDefault="00DB545D"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52,255</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2564F4BC" w14:textId="77777777" w:rsidR="00DB545D" w:rsidRPr="001D52A0" w:rsidRDefault="00DB545D"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55,134</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2D0DA019" w14:textId="77777777" w:rsidR="00DB545D" w:rsidRPr="001D52A0" w:rsidRDefault="00DB545D"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3,602</w:t>
            </w:r>
          </w:p>
        </w:tc>
      </w:tr>
      <w:tr w:rsidR="00DB545D" w:rsidRPr="001D52A0" w14:paraId="2C7C42F4" w14:textId="77777777" w:rsidTr="00D07C7F">
        <w:trPr>
          <w:jc w:val="center"/>
        </w:trPr>
        <w:tc>
          <w:tcPr>
            <w:tcW w:w="3974" w:type="dxa"/>
            <w:tcBorders>
              <w:top w:val="nil"/>
              <w:left w:val="single" w:sz="4" w:space="0" w:color="auto"/>
              <w:bottom w:val="single" w:sz="4" w:space="0" w:color="auto"/>
              <w:right w:val="single" w:sz="4" w:space="0" w:color="auto"/>
            </w:tcBorders>
            <w:shd w:val="clear" w:color="auto" w:fill="auto"/>
            <w:vAlign w:val="center"/>
            <w:hideMark/>
          </w:tcPr>
          <w:p w14:paraId="326C8C02" w14:textId="77777777" w:rsidR="00DB545D" w:rsidRPr="001D52A0" w:rsidRDefault="00DB545D" w:rsidP="00D07C7F">
            <w:pPr>
              <w:spacing w:line="240" w:lineRule="exac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Depreciation</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0943EB31" w14:textId="77777777" w:rsidR="00DB545D" w:rsidRPr="001D52A0" w:rsidRDefault="00DB545D"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10,375</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0DA26EB3" w14:textId="77777777" w:rsidR="00DB545D" w:rsidRPr="001D52A0" w:rsidRDefault="00DB545D"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10,375</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2B7D8FD6" w14:textId="77777777" w:rsidR="00DB545D" w:rsidRPr="001D52A0" w:rsidRDefault="00DB545D"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10,712</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0B03D12C" w14:textId="77777777" w:rsidR="00DB545D" w:rsidRPr="001D52A0" w:rsidRDefault="00DB545D"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338</w:t>
            </w:r>
          </w:p>
        </w:tc>
      </w:tr>
      <w:tr w:rsidR="00DB545D" w:rsidRPr="001D52A0" w14:paraId="1E7B8165" w14:textId="77777777" w:rsidTr="00D07C7F">
        <w:trPr>
          <w:jc w:val="center"/>
        </w:trPr>
        <w:tc>
          <w:tcPr>
            <w:tcW w:w="3974" w:type="dxa"/>
            <w:tcBorders>
              <w:top w:val="nil"/>
              <w:left w:val="single" w:sz="4" w:space="0" w:color="auto"/>
              <w:bottom w:val="single" w:sz="4" w:space="0" w:color="auto"/>
              <w:right w:val="single" w:sz="4" w:space="0" w:color="auto"/>
            </w:tcBorders>
            <w:shd w:val="clear" w:color="auto" w:fill="auto"/>
            <w:vAlign w:val="center"/>
            <w:hideMark/>
          </w:tcPr>
          <w:p w14:paraId="3621466F" w14:textId="77777777" w:rsidR="00DB545D" w:rsidRPr="001D52A0" w:rsidRDefault="00DB545D" w:rsidP="00D07C7F">
            <w:pPr>
              <w:spacing w:line="240" w:lineRule="exac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Financing Cost</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3597E837" w14:textId="77777777" w:rsidR="00DB545D" w:rsidRPr="001D52A0" w:rsidRDefault="00DB545D"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4,971</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1FB4624B" w14:textId="77777777" w:rsidR="00DB545D" w:rsidRPr="001D52A0" w:rsidRDefault="00DB545D"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4,971</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662BA8B1" w14:textId="77777777" w:rsidR="00DB545D" w:rsidRPr="001D52A0" w:rsidRDefault="00DB545D"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4,829</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33F37926" w14:textId="77777777" w:rsidR="00DB545D" w:rsidRPr="001D52A0" w:rsidRDefault="0070745D"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(143)</w:t>
            </w:r>
          </w:p>
        </w:tc>
      </w:tr>
      <w:tr w:rsidR="00DB545D" w:rsidRPr="001D52A0" w14:paraId="4BA8903A" w14:textId="77777777" w:rsidTr="00D07C7F">
        <w:trPr>
          <w:jc w:val="center"/>
        </w:trPr>
        <w:tc>
          <w:tcPr>
            <w:tcW w:w="3974" w:type="dxa"/>
            <w:tcBorders>
              <w:top w:val="nil"/>
              <w:left w:val="single" w:sz="4" w:space="0" w:color="auto"/>
              <w:bottom w:val="single" w:sz="4" w:space="0" w:color="auto"/>
              <w:right w:val="single" w:sz="4" w:space="0" w:color="auto"/>
            </w:tcBorders>
            <w:shd w:val="clear" w:color="auto" w:fill="auto"/>
            <w:vAlign w:val="center"/>
            <w:hideMark/>
          </w:tcPr>
          <w:p w14:paraId="031FCA53" w14:textId="77777777" w:rsidR="00DB545D" w:rsidRPr="001D52A0" w:rsidRDefault="00DB545D" w:rsidP="00D07C7F">
            <w:pPr>
              <w:spacing w:line="240" w:lineRule="exac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Premises</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75A18254" w14:textId="77777777" w:rsidR="00DB545D" w:rsidRPr="001D52A0" w:rsidRDefault="00DB545D"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2,603</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5011C8DA" w14:textId="77777777" w:rsidR="00DB545D" w:rsidRPr="001D52A0" w:rsidRDefault="00DB545D"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3,471</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5553392C" w14:textId="48F679F5" w:rsidR="00DB545D" w:rsidRPr="001D52A0" w:rsidRDefault="00DB545D"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3,6</w:t>
            </w:r>
            <w:r w:rsidR="00EC6A9D" w:rsidRPr="001D52A0">
              <w:rPr>
                <w:rFonts w:asciiTheme="minorHAnsi" w:hAnsiTheme="minorHAnsi" w:cs="Arial"/>
                <w:color w:val="000000"/>
                <w:sz w:val="22"/>
                <w:szCs w:val="22"/>
                <w:lang w:eastAsia="en-GB"/>
              </w:rPr>
              <w:t>81</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74C52EFD" w14:textId="38E9E1FD" w:rsidR="00DB545D" w:rsidRPr="001D52A0" w:rsidRDefault="00DB545D"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1,0</w:t>
            </w:r>
            <w:r w:rsidR="00EC6A9D" w:rsidRPr="001D52A0">
              <w:rPr>
                <w:rFonts w:asciiTheme="minorHAnsi" w:hAnsiTheme="minorHAnsi" w:cs="Arial"/>
                <w:color w:val="000000"/>
                <w:sz w:val="22"/>
                <w:szCs w:val="22"/>
                <w:lang w:eastAsia="en-GB"/>
              </w:rPr>
              <w:t>77</w:t>
            </w:r>
          </w:p>
        </w:tc>
      </w:tr>
      <w:tr w:rsidR="00DB545D" w:rsidRPr="001D52A0" w14:paraId="25F0C722" w14:textId="77777777" w:rsidTr="00D07C7F">
        <w:trPr>
          <w:jc w:val="center"/>
        </w:trPr>
        <w:tc>
          <w:tcPr>
            <w:tcW w:w="3974" w:type="dxa"/>
            <w:tcBorders>
              <w:top w:val="nil"/>
              <w:left w:val="single" w:sz="4" w:space="0" w:color="auto"/>
              <w:bottom w:val="single" w:sz="4" w:space="0" w:color="auto"/>
              <w:right w:val="single" w:sz="4" w:space="0" w:color="auto"/>
            </w:tcBorders>
            <w:shd w:val="clear" w:color="auto" w:fill="auto"/>
            <w:vAlign w:val="center"/>
            <w:hideMark/>
          </w:tcPr>
          <w:p w14:paraId="1CB1E5B4" w14:textId="77777777" w:rsidR="00DB545D" w:rsidRPr="001D52A0" w:rsidRDefault="00DB545D" w:rsidP="00D07C7F">
            <w:pPr>
              <w:spacing w:line="240" w:lineRule="exac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Employees</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6FC5DBB1" w14:textId="77777777" w:rsidR="00DB545D" w:rsidRPr="001D52A0" w:rsidRDefault="00DB545D"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2,617</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A0313" w14:textId="77777777" w:rsidR="00DB545D" w:rsidRPr="001D52A0" w:rsidRDefault="00DB545D"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2,874</w:t>
            </w:r>
          </w:p>
        </w:tc>
        <w:tc>
          <w:tcPr>
            <w:tcW w:w="1361" w:type="dxa"/>
            <w:tcBorders>
              <w:top w:val="nil"/>
              <w:left w:val="nil"/>
              <w:bottom w:val="single" w:sz="4" w:space="0" w:color="auto"/>
              <w:right w:val="single" w:sz="4" w:space="0" w:color="auto"/>
            </w:tcBorders>
            <w:shd w:val="clear" w:color="auto" w:fill="FFFFFF" w:themeFill="background1"/>
            <w:vAlign w:val="center"/>
          </w:tcPr>
          <w:p w14:paraId="0DA4A76D" w14:textId="77777777" w:rsidR="00DB545D" w:rsidRPr="001D52A0" w:rsidRDefault="00DB545D"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2,960</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00B7CAEE" w14:textId="77777777" w:rsidR="00DB545D" w:rsidRPr="001D52A0" w:rsidRDefault="00DB545D"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344</w:t>
            </w:r>
          </w:p>
        </w:tc>
      </w:tr>
      <w:tr w:rsidR="00DB545D" w:rsidRPr="001D52A0" w14:paraId="15336897" w14:textId="77777777" w:rsidTr="00D07C7F">
        <w:trPr>
          <w:jc w:val="center"/>
        </w:trPr>
        <w:tc>
          <w:tcPr>
            <w:tcW w:w="3974" w:type="dxa"/>
            <w:tcBorders>
              <w:top w:val="nil"/>
              <w:left w:val="single" w:sz="4" w:space="0" w:color="auto"/>
              <w:bottom w:val="single" w:sz="4" w:space="0" w:color="auto"/>
              <w:right w:val="single" w:sz="4" w:space="0" w:color="auto"/>
            </w:tcBorders>
            <w:shd w:val="clear" w:color="auto" w:fill="auto"/>
            <w:vAlign w:val="center"/>
            <w:hideMark/>
          </w:tcPr>
          <w:p w14:paraId="21141F73" w14:textId="77777777" w:rsidR="00DB545D" w:rsidRPr="001D52A0" w:rsidRDefault="00DB545D" w:rsidP="00D07C7F">
            <w:pPr>
              <w:spacing w:line="240" w:lineRule="exac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Supplies and Services</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1C073152" w14:textId="77777777" w:rsidR="00DB545D" w:rsidRPr="001D52A0" w:rsidRDefault="00DB545D"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1,187</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5AFBCAE6" w14:textId="77777777" w:rsidR="00DB545D" w:rsidRPr="001D52A0" w:rsidRDefault="00DB545D"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2,279</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08A3D348" w14:textId="237F8533" w:rsidR="00DB545D" w:rsidRPr="001D52A0" w:rsidRDefault="00DB545D"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2,5</w:t>
            </w:r>
            <w:r w:rsidR="00EC6A9D" w:rsidRPr="001D52A0">
              <w:rPr>
                <w:rFonts w:asciiTheme="minorHAnsi" w:hAnsiTheme="minorHAnsi" w:cs="Arial"/>
                <w:color w:val="000000"/>
                <w:sz w:val="22"/>
                <w:szCs w:val="22"/>
                <w:lang w:eastAsia="en-GB"/>
              </w:rPr>
              <w:t>00</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0FED1460" w14:textId="6AAEBA05" w:rsidR="00DB545D" w:rsidRPr="001D52A0" w:rsidRDefault="00DB545D"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1</w:t>
            </w:r>
            <w:r w:rsidR="00FA14B2" w:rsidRPr="001D52A0">
              <w:rPr>
                <w:rFonts w:asciiTheme="minorHAnsi" w:hAnsiTheme="minorHAnsi" w:cs="Arial"/>
                <w:color w:val="000000"/>
                <w:sz w:val="22"/>
                <w:szCs w:val="22"/>
                <w:lang w:eastAsia="en-GB"/>
              </w:rPr>
              <w:t>,3</w:t>
            </w:r>
            <w:r w:rsidR="00EC6A9D" w:rsidRPr="001D52A0">
              <w:rPr>
                <w:rFonts w:asciiTheme="minorHAnsi" w:hAnsiTheme="minorHAnsi" w:cs="Arial"/>
                <w:color w:val="000000"/>
                <w:sz w:val="22"/>
                <w:szCs w:val="22"/>
                <w:lang w:eastAsia="en-GB"/>
              </w:rPr>
              <w:t>14</w:t>
            </w:r>
          </w:p>
        </w:tc>
      </w:tr>
      <w:tr w:rsidR="00DB545D" w:rsidRPr="001D52A0" w14:paraId="7CB4F432" w14:textId="77777777" w:rsidTr="00D07C7F">
        <w:trPr>
          <w:jc w:val="center"/>
        </w:trPr>
        <w:tc>
          <w:tcPr>
            <w:tcW w:w="3974" w:type="dxa"/>
            <w:tcBorders>
              <w:top w:val="nil"/>
              <w:left w:val="single" w:sz="4" w:space="0" w:color="auto"/>
              <w:bottom w:val="single" w:sz="4" w:space="0" w:color="auto"/>
              <w:right w:val="single" w:sz="4" w:space="0" w:color="auto"/>
            </w:tcBorders>
            <w:shd w:val="clear" w:color="auto" w:fill="auto"/>
            <w:vAlign w:val="center"/>
          </w:tcPr>
          <w:p w14:paraId="704027CB" w14:textId="77777777" w:rsidR="00DB545D" w:rsidRPr="001D52A0" w:rsidRDefault="00DB545D" w:rsidP="00D07C7F">
            <w:pPr>
              <w:spacing w:line="240" w:lineRule="exac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MRF Service Costs</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684386C3" w14:textId="77777777" w:rsidR="00DB545D" w:rsidRPr="001D52A0" w:rsidRDefault="00DB545D"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2,256</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0195D5F6" w14:textId="77777777" w:rsidR="00DB545D" w:rsidRPr="001D52A0" w:rsidRDefault="00DB545D"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3,423</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6C3E0027" w14:textId="77777777" w:rsidR="00DB545D" w:rsidRPr="001D52A0" w:rsidRDefault="00DB545D"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5,804</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2198C471" w14:textId="77777777" w:rsidR="00DB545D" w:rsidRPr="001D52A0" w:rsidRDefault="00DB545D"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3,548</w:t>
            </w:r>
          </w:p>
        </w:tc>
      </w:tr>
      <w:tr w:rsidR="00DB545D" w:rsidRPr="001D52A0" w14:paraId="41479755" w14:textId="77777777" w:rsidTr="00D07C7F">
        <w:trPr>
          <w:jc w:val="center"/>
        </w:trPr>
        <w:tc>
          <w:tcPr>
            <w:tcW w:w="3974" w:type="dxa"/>
            <w:tcBorders>
              <w:top w:val="nil"/>
              <w:left w:val="single" w:sz="4" w:space="0" w:color="auto"/>
              <w:bottom w:val="single" w:sz="4" w:space="0" w:color="auto"/>
              <w:right w:val="single" w:sz="4" w:space="0" w:color="auto"/>
            </w:tcBorders>
            <w:shd w:val="clear" w:color="auto" w:fill="auto"/>
            <w:vAlign w:val="center"/>
          </w:tcPr>
          <w:p w14:paraId="45091780" w14:textId="77777777" w:rsidR="00DB545D" w:rsidRPr="001D52A0" w:rsidRDefault="00DB545D" w:rsidP="00D07C7F">
            <w:pPr>
              <w:spacing w:line="240" w:lineRule="exac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Revenue Funding of Debt</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08D774BA" w14:textId="77777777" w:rsidR="00DB545D" w:rsidRPr="001D52A0" w:rsidRDefault="00DB545D"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984</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4CA5B446" w14:textId="77777777" w:rsidR="00DB545D" w:rsidRPr="001D52A0" w:rsidRDefault="00DB545D"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984</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0C01BDD2" w14:textId="77777777" w:rsidR="00DB545D" w:rsidRPr="001D52A0" w:rsidRDefault="00DB545D"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1,006</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39DBD358" w14:textId="77777777" w:rsidR="00DB545D" w:rsidRPr="001D52A0" w:rsidRDefault="00DB545D"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22</w:t>
            </w:r>
          </w:p>
        </w:tc>
      </w:tr>
      <w:tr w:rsidR="00DB545D" w:rsidRPr="001D52A0" w14:paraId="26C39826" w14:textId="77777777" w:rsidTr="00D07C7F">
        <w:trPr>
          <w:jc w:val="center"/>
        </w:trPr>
        <w:tc>
          <w:tcPr>
            <w:tcW w:w="3974" w:type="dxa"/>
            <w:tcBorders>
              <w:top w:val="nil"/>
              <w:left w:val="single" w:sz="4" w:space="0" w:color="auto"/>
              <w:bottom w:val="single" w:sz="4" w:space="0" w:color="auto"/>
              <w:right w:val="single" w:sz="4" w:space="0" w:color="auto"/>
            </w:tcBorders>
            <w:shd w:val="clear" w:color="auto" w:fill="auto"/>
            <w:vAlign w:val="center"/>
            <w:hideMark/>
          </w:tcPr>
          <w:p w14:paraId="728572D7" w14:textId="77777777" w:rsidR="00DB545D" w:rsidRPr="001D52A0" w:rsidRDefault="00DB545D" w:rsidP="00D07C7F">
            <w:pPr>
              <w:spacing w:line="240" w:lineRule="exac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Concession Accounting Adjustments</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04938F94" w14:textId="77777777" w:rsidR="00DB545D" w:rsidRPr="001D52A0" w:rsidRDefault="00DB545D" w:rsidP="00D07C7F">
            <w:pPr>
              <w:spacing w:line="240" w:lineRule="exact"/>
              <w:jc w:val="center"/>
              <w:rPr>
                <w:rFonts w:asciiTheme="minorHAnsi" w:hAnsiTheme="minorHAnsi" w:cs="Arial"/>
                <w:sz w:val="22"/>
                <w:szCs w:val="22"/>
                <w:lang w:eastAsia="en-GB"/>
              </w:rPr>
            </w:pPr>
            <w:r w:rsidRPr="001D52A0">
              <w:rPr>
                <w:rFonts w:asciiTheme="minorHAnsi" w:hAnsiTheme="minorHAnsi" w:cs="Arial"/>
                <w:sz w:val="22"/>
                <w:szCs w:val="22"/>
                <w:lang w:eastAsia="en-GB"/>
              </w:rPr>
              <w:t>(4,570)</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2BF7E2C7" w14:textId="77777777" w:rsidR="00DB545D" w:rsidRPr="001D52A0" w:rsidRDefault="00DB545D"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(4,570)</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5FC3C71B" w14:textId="77777777" w:rsidR="00DB545D" w:rsidRPr="001D52A0" w:rsidRDefault="00DB545D"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(4,666)</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74BA3657" w14:textId="77777777" w:rsidR="00DB545D" w:rsidRPr="001D52A0" w:rsidRDefault="00DB545D"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(96)</w:t>
            </w:r>
          </w:p>
        </w:tc>
      </w:tr>
      <w:tr w:rsidR="00DB545D" w:rsidRPr="001D52A0" w14:paraId="12F3AAE3" w14:textId="77777777" w:rsidTr="00D07C7F">
        <w:trPr>
          <w:jc w:val="center"/>
        </w:trPr>
        <w:tc>
          <w:tcPr>
            <w:tcW w:w="3974" w:type="dxa"/>
            <w:tcBorders>
              <w:top w:val="nil"/>
              <w:left w:val="single" w:sz="4" w:space="0" w:color="auto"/>
              <w:bottom w:val="single" w:sz="4" w:space="0" w:color="auto"/>
              <w:right w:val="single" w:sz="4" w:space="0" w:color="auto"/>
            </w:tcBorders>
            <w:shd w:val="clear" w:color="auto" w:fill="auto"/>
            <w:vAlign w:val="center"/>
            <w:hideMark/>
          </w:tcPr>
          <w:p w14:paraId="38B0BD0D" w14:textId="77777777" w:rsidR="00DB545D" w:rsidRPr="001D52A0" w:rsidRDefault="00DB545D" w:rsidP="00D07C7F">
            <w:pPr>
              <w:spacing w:line="240" w:lineRule="exact"/>
              <w:rPr>
                <w:rFonts w:asciiTheme="minorHAnsi" w:hAnsiTheme="minorHAnsi" w:cs="Arial"/>
                <w:b/>
                <w:bCs/>
                <w:color w:val="000000"/>
                <w:sz w:val="22"/>
                <w:szCs w:val="22"/>
                <w:lang w:eastAsia="en-GB"/>
              </w:rPr>
            </w:pPr>
            <w:r w:rsidRPr="001D52A0">
              <w:rPr>
                <w:rFonts w:asciiTheme="minorHAnsi" w:hAnsiTheme="minorHAnsi" w:cs="Arial"/>
                <w:b/>
                <w:bCs/>
                <w:color w:val="000000"/>
                <w:sz w:val="22"/>
                <w:szCs w:val="22"/>
                <w:lang w:eastAsia="en-GB"/>
              </w:rPr>
              <w:t>BAU costs</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6F516DFE" w14:textId="77777777" w:rsidR="00DB545D" w:rsidRPr="001D52A0" w:rsidRDefault="00DB545D" w:rsidP="00D07C7F">
            <w:pPr>
              <w:spacing w:line="240" w:lineRule="exact"/>
              <w:jc w:val="center"/>
              <w:rPr>
                <w:rFonts w:asciiTheme="minorHAnsi" w:hAnsiTheme="minorHAnsi" w:cs="Arial"/>
                <w:b/>
                <w:bCs/>
                <w:color w:val="000000"/>
                <w:sz w:val="22"/>
                <w:szCs w:val="22"/>
                <w:lang w:eastAsia="en-GB"/>
              </w:rPr>
            </w:pPr>
            <w:r w:rsidRPr="001D52A0">
              <w:rPr>
                <w:rFonts w:asciiTheme="minorHAnsi" w:hAnsiTheme="minorHAnsi" w:cs="Arial"/>
                <w:b/>
                <w:bCs/>
                <w:color w:val="000000"/>
                <w:sz w:val="22"/>
                <w:szCs w:val="22"/>
                <w:lang w:eastAsia="en-GB"/>
              </w:rPr>
              <w:t>71,954</w:t>
            </w:r>
          </w:p>
        </w:tc>
        <w:tc>
          <w:tcPr>
            <w:tcW w:w="1361" w:type="dxa"/>
            <w:tcBorders>
              <w:top w:val="nil"/>
              <w:left w:val="single" w:sz="4" w:space="0" w:color="auto"/>
              <w:bottom w:val="single" w:sz="8" w:space="0" w:color="auto"/>
              <w:right w:val="single" w:sz="4" w:space="0" w:color="auto"/>
            </w:tcBorders>
            <w:shd w:val="clear" w:color="auto" w:fill="FFFFFF" w:themeFill="background1"/>
            <w:vAlign w:val="center"/>
          </w:tcPr>
          <w:p w14:paraId="21F5940C" w14:textId="77777777" w:rsidR="00DB545D" w:rsidRPr="001D52A0" w:rsidRDefault="00DB545D" w:rsidP="00D07C7F">
            <w:pPr>
              <w:spacing w:line="240" w:lineRule="exact"/>
              <w:jc w:val="center"/>
              <w:rPr>
                <w:rFonts w:asciiTheme="minorHAnsi" w:hAnsiTheme="minorHAnsi" w:cs="Arial"/>
                <w:b/>
                <w:color w:val="000000"/>
                <w:sz w:val="22"/>
                <w:szCs w:val="22"/>
                <w:lang w:eastAsia="en-GB"/>
              </w:rPr>
            </w:pPr>
            <w:r w:rsidRPr="001D52A0">
              <w:rPr>
                <w:rFonts w:asciiTheme="minorHAnsi" w:hAnsiTheme="minorHAnsi" w:cs="Arial"/>
                <w:b/>
                <w:color w:val="000000"/>
                <w:sz w:val="22"/>
                <w:szCs w:val="22"/>
                <w:lang w:eastAsia="en-GB"/>
              </w:rPr>
              <w:t>76,060</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653D640D" w14:textId="2BAE1142" w:rsidR="00DB545D" w:rsidRPr="001D52A0" w:rsidRDefault="00DB545D" w:rsidP="00D07C7F">
            <w:pPr>
              <w:spacing w:line="240" w:lineRule="exact"/>
              <w:jc w:val="center"/>
              <w:rPr>
                <w:rFonts w:asciiTheme="minorHAnsi" w:hAnsiTheme="minorHAnsi" w:cs="Arial"/>
                <w:b/>
                <w:color w:val="000000"/>
                <w:sz w:val="22"/>
                <w:szCs w:val="22"/>
                <w:lang w:eastAsia="en-GB"/>
              </w:rPr>
            </w:pPr>
            <w:r w:rsidRPr="001D52A0">
              <w:rPr>
                <w:rFonts w:asciiTheme="minorHAnsi" w:hAnsiTheme="minorHAnsi" w:cs="Arial"/>
                <w:b/>
                <w:color w:val="000000"/>
                <w:sz w:val="22"/>
                <w:szCs w:val="22"/>
                <w:lang w:eastAsia="en-GB"/>
              </w:rPr>
              <w:t>81,9</w:t>
            </w:r>
            <w:r w:rsidR="00EC6A9D" w:rsidRPr="001D52A0">
              <w:rPr>
                <w:rFonts w:asciiTheme="minorHAnsi" w:hAnsiTheme="minorHAnsi" w:cs="Arial"/>
                <w:b/>
                <w:color w:val="000000"/>
                <w:sz w:val="22"/>
                <w:szCs w:val="22"/>
                <w:lang w:eastAsia="en-GB"/>
              </w:rPr>
              <w:t>60</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7F3442CD" w14:textId="1C8997B8" w:rsidR="00DB545D" w:rsidRPr="001D52A0" w:rsidRDefault="00DB545D" w:rsidP="00D07C7F">
            <w:pPr>
              <w:spacing w:line="240" w:lineRule="exact"/>
              <w:jc w:val="center"/>
              <w:rPr>
                <w:rFonts w:asciiTheme="minorHAnsi" w:hAnsiTheme="minorHAnsi" w:cs="Arial"/>
                <w:b/>
                <w:color w:val="000000"/>
                <w:sz w:val="22"/>
                <w:szCs w:val="22"/>
                <w:lang w:eastAsia="en-GB"/>
              </w:rPr>
            </w:pPr>
            <w:r w:rsidRPr="001D52A0">
              <w:rPr>
                <w:rFonts w:asciiTheme="minorHAnsi" w:hAnsiTheme="minorHAnsi" w:cs="Arial"/>
                <w:b/>
                <w:color w:val="000000"/>
                <w:sz w:val="22"/>
                <w:szCs w:val="22"/>
                <w:lang w:eastAsia="en-GB"/>
              </w:rPr>
              <w:t>10,0</w:t>
            </w:r>
            <w:r w:rsidR="00EC6A9D" w:rsidRPr="001D52A0">
              <w:rPr>
                <w:rFonts w:asciiTheme="minorHAnsi" w:hAnsiTheme="minorHAnsi" w:cs="Arial"/>
                <w:b/>
                <w:color w:val="000000"/>
                <w:sz w:val="22"/>
                <w:szCs w:val="22"/>
                <w:lang w:eastAsia="en-GB"/>
              </w:rPr>
              <w:t>06</w:t>
            </w:r>
          </w:p>
        </w:tc>
      </w:tr>
      <w:tr w:rsidR="00DB545D" w:rsidRPr="001D52A0" w14:paraId="2447B8C0" w14:textId="77777777" w:rsidTr="00DC4BF5">
        <w:trPr>
          <w:trHeight w:val="222"/>
          <w:jc w:val="center"/>
        </w:trPr>
        <w:tc>
          <w:tcPr>
            <w:tcW w:w="3974" w:type="dxa"/>
            <w:tcBorders>
              <w:top w:val="single" w:sz="4" w:space="0" w:color="auto"/>
              <w:bottom w:val="single" w:sz="4" w:space="0" w:color="auto"/>
            </w:tcBorders>
            <w:shd w:val="clear" w:color="auto" w:fill="auto"/>
            <w:vAlign w:val="center"/>
          </w:tcPr>
          <w:p w14:paraId="28EF760C" w14:textId="77777777" w:rsidR="00DB545D" w:rsidRPr="001D52A0" w:rsidRDefault="00DB545D" w:rsidP="00D07C7F">
            <w:pPr>
              <w:spacing w:line="40" w:lineRule="exact"/>
              <w:rPr>
                <w:rFonts w:asciiTheme="minorHAnsi" w:hAnsiTheme="minorHAnsi" w:cs="Arial"/>
                <w:color w:val="000000"/>
                <w:sz w:val="22"/>
                <w:szCs w:val="22"/>
                <w:lang w:eastAsia="en-GB"/>
              </w:rPr>
            </w:pPr>
          </w:p>
          <w:p w14:paraId="05906AF4" w14:textId="77777777" w:rsidR="00DB545D" w:rsidRPr="001D52A0" w:rsidRDefault="00DB545D" w:rsidP="00D07C7F">
            <w:pPr>
              <w:spacing w:line="40" w:lineRule="exact"/>
              <w:rPr>
                <w:rFonts w:asciiTheme="minorHAnsi" w:hAnsiTheme="minorHAnsi" w:cs="Arial"/>
                <w:color w:val="000000"/>
                <w:sz w:val="22"/>
                <w:szCs w:val="22"/>
                <w:lang w:eastAsia="en-GB"/>
              </w:rPr>
            </w:pPr>
          </w:p>
        </w:tc>
        <w:tc>
          <w:tcPr>
            <w:tcW w:w="1361" w:type="dxa"/>
            <w:tcBorders>
              <w:top w:val="nil"/>
              <w:bottom w:val="single" w:sz="4" w:space="0" w:color="auto"/>
            </w:tcBorders>
            <w:shd w:val="clear" w:color="auto" w:fill="FFFFFF" w:themeFill="background1"/>
            <w:vAlign w:val="center"/>
          </w:tcPr>
          <w:p w14:paraId="1063B5C9" w14:textId="77777777" w:rsidR="00DB545D" w:rsidRPr="001D52A0" w:rsidRDefault="00DB545D" w:rsidP="00D07C7F">
            <w:pPr>
              <w:spacing w:line="40" w:lineRule="exact"/>
              <w:jc w:val="center"/>
              <w:rPr>
                <w:rFonts w:asciiTheme="minorHAnsi" w:hAnsiTheme="minorHAnsi" w:cs="Arial"/>
                <w:color w:val="000000"/>
                <w:sz w:val="22"/>
                <w:szCs w:val="22"/>
                <w:lang w:eastAsia="en-GB"/>
              </w:rPr>
            </w:pPr>
          </w:p>
        </w:tc>
        <w:tc>
          <w:tcPr>
            <w:tcW w:w="1361" w:type="dxa"/>
            <w:tcBorders>
              <w:top w:val="nil"/>
              <w:bottom w:val="single" w:sz="4" w:space="0" w:color="auto"/>
            </w:tcBorders>
            <w:shd w:val="clear" w:color="auto" w:fill="FFFFFF" w:themeFill="background1"/>
            <w:vAlign w:val="center"/>
          </w:tcPr>
          <w:p w14:paraId="5C419AC3" w14:textId="77777777" w:rsidR="00DB545D" w:rsidRPr="001D52A0" w:rsidRDefault="00DB545D" w:rsidP="00D07C7F">
            <w:pPr>
              <w:spacing w:line="40" w:lineRule="exact"/>
              <w:jc w:val="center"/>
              <w:rPr>
                <w:rFonts w:asciiTheme="minorHAnsi" w:hAnsiTheme="minorHAnsi" w:cs="Arial"/>
                <w:color w:val="000000"/>
                <w:sz w:val="22"/>
                <w:szCs w:val="22"/>
                <w:lang w:eastAsia="en-GB"/>
              </w:rPr>
            </w:pPr>
          </w:p>
        </w:tc>
        <w:tc>
          <w:tcPr>
            <w:tcW w:w="1361" w:type="dxa"/>
            <w:tcBorders>
              <w:top w:val="nil"/>
              <w:left w:val="nil"/>
              <w:bottom w:val="single" w:sz="4" w:space="0" w:color="auto"/>
              <w:right w:val="nil"/>
            </w:tcBorders>
            <w:shd w:val="clear" w:color="auto" w:fill="FFFFFF" w:themeFill="background1"/>
            <w:noWrap/>
            <w:vAlign w:val="center"/>
          </w:tcPr>
          <w:p w14:paraId="5BDB1443" w14:textId="77777777" w:rsidR="00DB545D" w:rsidRPr="001D52A0" w:rsidRDefault="00DB545D" w:rsidP="00D07C7F">
            <w:pPr>
              <w:spacing w:line="40" w:lineRule="exact"/>
              <w:jc w:val="center"/>
              <w:rPr>
                <w:rFonts w:asciiTheme="minorHAnsi" w:hAnsiTheme="minorHAnsi" w:cs="Arial"/>
                <w:color w:val="000000"/>
                <w:sz w:val="22"/>
                <w:szCs w:val="22"/>
                <w:lang w:eastAsia="en-GB"/>
              </w:rPr>
            </w:pPr>
          </w:p>
        </w:tc>
        <w:tc>
          <w:tcPr>
            <w:tcW w:w="1361" w:type="dxa"/>
            <w:tcBorders>
              <w:top w:val="single" w:sz="4" w:space="0" w:color="auto"/>
              <w:left w:val="nil"/>
              <w:bottom w:val="single" w:sz="4" w:space="0" w:color="auto"/>
            </w:tcBorders>
            <w:shd w:val="clear" w:color="auto" w:fill="FFFFFF" w:themeFill="background1"/>
            <w:noWrap/>
            <w:vAlign w:val="center"/>
          </w:tcPr>
          <w:p w14:paraId="7EA53DFB" w14:textId="77777777" w:rsidR="00DB545D" w:rsidRPr="001D52A0" w:rsidRDefault="00DB545D" w:rsidP="00D07C7F">
            <w:pPr>
              <w:spacing w:line="40" w:lineRule="exact"/>
              <w:jc w:val="center"/>
              <w:rPr>
                <w:rFonts w:asciiTheme="minorHAnsi" w:hAnsiTheme="minorHAnsi" w:cs="Arial"/>
                <w:color w:val="000000"/>
                <w:sz w:val="22"/>
                <w:szCs w:val="22"/>
                <w:lang w:eastAsia="en-GB"/>
              </w:rPr>
            </w:pPr>
          </w:p>
        </w:tc>
      </w:tr>
      <w:tr w:rsidR="00DB545D" w:rsidRPr="001D52A0" w14:paraId="451A7EB5" w14:textId="77777777" w:rsidTr="00D07C7F">
        <w:trPr>
          <w:jc w:val="center"/>
        </w:trPr>
        <w:tc>
          <w:tcPr>
            <w:tcW w:w="3974" w:type="dxa"/>
            <w:tcBorders>
              <w:top w:val="single" w:sz="4" w:space="0" w:color="auto"/>
              <w:left w:val="single" w:sz="4" w:space="0" w:color="auto"/>
              <w:bottom w:val="single" w:sz="4" w:space="0" w:color="auto"/>
            </w:tcBorders>
            <w:shd w:val="clear" w:color="auto" w:fill="auto"/>
            <w:noWrap/>
            <w:vAlign w:val="bottom"/>
            <w:hideMark/>
          </w:tcPr>
          <w:p w14:paraId="6E876D3F" w14:textId="77777777" w:rsidR="00DB545D" w:rsidRPr="001D52A0" w:rsidRDefault="00DB545D" w:rsidP="00D07C7F">
            <w:pPr>
              <w:spacing w:line="240" w:lineRule="exact"/>
              <w:rPr>
                <w:rFonts w:asciiTheme="minorHAnsi" w:hAnsiTheme="minorHAnsi" w:cs="Arial"/>
                <w:b/>
                <w:bCs/>
                <w:color w:val="000000"/>
                <w:sz w:val="22"/>
                <w:szCs w:val="22"/>
                <w:lang w:eastAsia="en-GB"/>
              </w:rPr>
            </w:pPr>
            <w:r w:rsidRPr="001D52A0">
              <w:rPr>
                <w:rFonts w:asciiTheme="minorHAnsi" w:hAnsiTheme="minorHAnsi" w:cs="Arial"/>
                <w:b/>
                <w:bCs/>
                <w:color w:val="000000"/>
                <w:sz w:val="22"/>
                <w:szCs w:val="22"/>
                <w:lang w:eastAsia="en-GB"/>
              </w:rPr>
              <w:t>Programme of work funded by PPP income</w:t>
            </w:r>
          </w:p>
        </w:tc>
        <w:tc>
          <w:tcPr>
            <w:tcW w:w="1361" w:type="dxa"/>
            <w:tcBorders>
              <w:top w:val="nil"/>
              <w:left w:val="nil"/>
              <w:bottom w:val="single" w:sz="4" w:space="0" w:color="auto"/>
              <w:right w:val="nil"/>
            </w:tcBorders>
            <w:shd w:val="clear" w:color="auto" w:fill="FFFFFF" w:themeFill="background1"/>
            <w:vAlign w:val="bottom"/>
          </w:tcPr>
          <w:p w14:paraId="5C76FF5F" w14:textId="77777777" w:rsidR="00DB545D" w:rsidRPr="001D52A0" w:rsidRDefault="00DB545D" w:rsidP="00D07C7F">
            <w:pPr>
              <w:spacing w:line="240" w:lineRule="exact"/>
              <w:jc w:val="center"/>
              <w:rPr>
                <w:rFonts w:asciiTheme="minorHAnsi" w:hAnsiTheme="minorHAnsi" w:cs="Arial"/>
                <w:b/>
                <w:bCs/>
                <w:color w:val="000000"/>
                <w:sz w:val="22"/>
                <w:szCs w:val="22"/>
                <w:lang w:eastAsia="en-GB"/>
              </w:rPr>
            </w:pPr>
          </w:p>
        </w:tc>
        <w:tc>
          <w:tcPr>
            <w:tcW w:w="1361" w:type="dxa"/>
            <w:tcBorders>
              <w:top w:val="nil"/>
              <w:left w:val="nil"/>
              <w:bottom w:val="single" w:sz="4" w:space="0" w:color="auto"/>
            </w:tcBorders>
            <w:shd w:val="clear" w:color="auto" w:fill="FFFFFF" w:themeFill="background1"/>
            <w:vAlign w:val="bottom"/>
          </w:tcPr>
          <w:p w14:paraId="5C2FD885" w14:textId="77777777" w:rsidR="00DB545D" w:rsidRPr="001D52A0" w:rsidRDefault="00DB545D" w:rsidP="00D07C7F">
            <w:pPr>
              <w:spacing w:line="240" w:lineRule="exact"/>
              <w:jc w:val="center"/>
              <w:rPr>
                <w:rFonts w:asciiTheme="minorHAnsi" w:hAnsiTheme="minorHAnsi" w:cs="Arial"/>
                <w:color w:val="000000"/>
                <w:sz w:val="22"/>
                <w:szCs w:val="22"/>
                <w:lang w:eastAsia="en-GB"/>
              </w:rPr>
            </w:pPr>
          </w:p>
        </w:tc>
        <w:tc>
          <w:tcPr>
            <w:tcW w:w="1361" w:type="dxa"/>
            <w:tcBorders>
              <w:top w:val="nil"/>
              <w:left w:val="nil"/>
              <w:bottom w:val="single" w:sz="4" w:space="0" w:color="auto"/>
              <w:right w:val="nil"/>
            </w:tcBorders>
            <w:shd w:val="clear" w:color="auto" w:fill="FFFFFF" w:themeFill="background1"/>
            <w:noWrap/>
            <w:vAlign w:val="bottom"/>
            <w:hideMark/>
          </w:tcPr>
          <w:p w14:paraId="32924D92" w14:textId="77777777" w:rsidR="00DB545D" w:rsidRPr="001D52A0" w:rsidRDefault="00DB545D" w:rsidP="00D07C7F">
            <w:pPr>
              <w:spacing w:line="240" w:lineRule="exact"/>
              <w:jc w:val="center"/>
              <w:rPr>
                <w:rFonts w:asciiTheme="minorHAnsi" w:hAnsiTheme="minorHAnsi" w:cs="Arial"/>
                <w:color w:val="000000"/>
                <w:sz w:val="22"/>
                <w:szCs w:val="22"/>
                <w:lang w:eastAsia="en-GB"/>
              </w:rPr>
            </w:pPr>
          </w:p>
        </w:tc>
        <w:tc>
          <w:tcPr>
            <w:tcW w:w="1361" w:type="dxa"/>
            <w:tcBorders>
              <w:top w:val="nil"/>
              <w:left w:val="nil"/>
              <w:bottom w:val="single" w:sz="4" w:space="0" w:color="auto"/>
              <w:right w:val="single" w:sz="4" w:space="0" w:color="auto"/>
            </w:tcBorders>
            <w:shd w:val="clear" w:color="auto" w:fill="FFFFFF" w:themeFill="background1"/>
            <w:noWrap/>
            <w:vAlign w:val="bottom"/>
            <w:hideMark/>
          </w:tcPr>
          <w:p w14:paraId="31B6990E" w14:textId="77777777" w:rsidR="00DB545D" w:rsidRPr="001D52A0" w:rsidRDefault="00DB545D" w:rsidP="00D07C7F">
            <w:pPr>
              <w:spacing w:line="240" w:lineRule="exact"/>
              <w:jc w:val="center"/>
              <w:rPr>
                <w:rFonts w:asciiTheme="minorHAnsi" w:hAnsiTheme="minorHAnsi" w:cs="Arial"/>
                <w:color w:val="000000"/>
                <w:sz w:val="22"/>
                <w:szCs w:val="22"/>
                <w:lang w:eastAsia="en-GB"/>
              </w:rPr>
            </w:pPr>
          </w:p>
        </w:tc>
      </w:tr>
      <w:tr w:rsidR="008F289A" w:rsidRPr="001D52A0" w14:paraId="51038B64" w14:textId="77777777" w:rsidTr="00D07C7F">
        <w:trPr>
          <w:jc w:val="center"/>
        </w:trPr>
        <w:tc>
          <w:tcPr>
            <w:tcW w:w="3974" w:type="dxa"/>
            <w:tcBorders>
              <w:top w:val="nil"/>
              <w:left w:val="single" w:sz="4" w:space="0" w:color="auto"/>
              <w:bottom w:val="single" w:sz="4" w:space="0" w:color="auto"/>
              <w:right w:val="single" w:sz="4" w:space="0" w:color="auto"/>
            </w:tcBorders>
            <w:shd w:val="clear" w:color="auto" w:fill="auto"/>
            <w:vAlign w:val="center"/>
          </w:tcPr>
          <w:p w14:paraId="247BD0AE" w14:textId="77777777" w:rsidR="008F289A" w:rsidRPr="001D52A0" w:rsidRDefault="008F289A" w:rsidP="00D07C7F">
            <w:pPr>
              <w:spacing w:line="240" w:lineRule="exact"/>
              <w:rPr>
                <w:rFonts w:asciiTheme="minorHAnsi" w:hAnsiTheme="minorHAnsi" w:cs="Arial"/>
                <w:sz w:val="22"/>
                <w:szCs w:val="22"/>
                <w:lang w:eastAsia="en-GB"/>
              </w:rPr>
            </w:pPr>
            <w:r w:rsidRPr="001D52A0">
              <w:rPr>
                <w:rFonts w:asciiTheme="minorHAnsi" w:hAnsiTheme="minorHAnsi" w:cs="Arial"/>
                <w:sz w:val="22"/>
                <w:szCs w:val="22"/>
                <w:lang w:eastAsia="en-GB"/>
              </w:rPr>
              <w:t xml:space="preserve">Depreciation </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3D015E68" w14:textId="77777777" w:rsidR="008F289A" w:rsidRPr="001D52A0" w:rsidRDefault="008F289A" w:rsidP="00D07C7F">
            <w:pPr>
              <w:spacing w:line="240" w:lineRule="exact"/>
              <w:jc w:val="center"/>
              <w:rPr>
                <w:rFonts w:asciiTheme="minorHAnsi" w:hAnsiTheme="minorHAnsi" w:cs="Arial"/>
                <w:sz w:val="22"/>
                <w:szCs w:val="22"/>
                <w:lang w:eastAsia="en-GB"/>
              </w:rPr>
            </w:pPr>
            <w:r w:rsidRPr="001D52A0">
              <w:rPr>
                <w:rFonts w:asciiTheme="minorHAnsi" w:hAnsiTheme="minorHAnsi" w:cs="Arial"/>
                <w:sz w:val="22"/>
                <w:szCs w:val="22"/>
                <w:lang w:eastAsia="en-GB"/>
              </w:rPr>
              <w:t>107</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788F8249" w14:textId="77777777" w:rsidR="008F289A" w:rsidRPr="001D52A0" w:rsidRDefault="008F289A"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107</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348627CD" w14:textId="77777777" w:rsidR="008F289A" w:rsidRPr="001D52A0" w:rsidRDefault="008F289A"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158</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19B1B1ED" w14:textId="77777777" w:rsidR="008F289A" w:rsidRPr="001D52A0" w:rsidRDefault="008F289A"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51</w:t>
            </w:r>
          </w:p>
        </w:tc>
      </w:tr>
      <w:tr w:rsidR="008F289A" w:rsidRPr="001D52A0" w14:paraId="35A1C70B" w14:textId="77777777" w:rsidTr="00D07C7F">
        <w:trPr>
          <w:jc w:val="center"/>
        </w:trPr>
        <w:tc>
          <w:tcPr>
            <w:tcW w:w="3974" w:type="dxa"/>
            <w:tcBorders>
              <w:top w:val="nil"/>
              <w:left w:val="single" w:sz="4" w:space="0" w:color="auto"/>
              <w:bottom w:val="single" w:sz="4" w:space="0" w:color="auto"/>
              <w:right w:val="single" w:sz="4" w:space="0" w:color="auto"/>
            </w:tcBorders>
            <w:shd w:val="clear" w:color="auto" w:fill="auto"/>
            <w:vAlign w:val="center"/>
          </w:tcPr>
          <w:p w14:paraId="1007614F" w14:textId="77777777" w:rsidR="008F289A" w:rsidRPr="001D52A0" w:rsidRDefault="008F289A" w:rsidP="00D07C7F">
            <w:pPr>
              <w:spacing w:line="240" w:lineRule="exact"/>
              <w:rPr>
                <w:rFonts w:asciiTheme="minorHAnsi" w:hAnsiTheme="minorHAnsi" w:cs="Arial"/>
                <w:sz w:val="22"/>
                <w:szCs w:val="22"/>
                <w:lang w:eastAsia="en-GB"/>
              </w:rPr>
            </w:pPr>
            <w:r w:rsidRPr="001D52A0">
              <w:rPr>
                <w:rFonts w:asciiTheme="minorHAnsi" w:hAnsiTheme="minorHAnsi" w:cs="Arial"/>
                <w:sz w:val="22"/>
                <w:szCs w:val="22"/>
                <w:lang w:eastAsia="en-GB"/>
              </w:rPr>
              <w:t xml:space="preserve">Premises </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062CCF59" w14:textId="77777777" w:rsidR="008F289A" w:rsidRPr="001D52A0" w:rsidRDefault="008F289A" w:rsidP="00D07C7F">
            <w:pPr>
              <w:spacing w:line="240" w:lineRule="exact"/>
              <w:jc w:val="center"/>
              <w:rPr>
                <w:rFonts w:asciiTheme="minorHAnsi" w:hAnsiTheme="minorHAnsi" w:cs="Arial"/>
                <w:sz w:val="22"/>
                <w:szCs w:val="22"/>
                <w:lang w:eastAsia="en-GB"/>
              </w:rPr>
            </w:pPr>
            <w:r w:rsidRPr="001D52A0">
              <w:rPr>
                <w:rFonts w:asciiTheme="minorHAnsi" w:hAnsiTheme="minorHAnsi" w:cs="Arial"/>
                <w:sz w:val="22"/>
                <w:szCs w:val="22"/>
                <w:lang w:eastAsia="en-GB"/>
              </w:rPr>
              <w:t>45</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001B2CED" w14:textId="77777777" w:rsidR="008F289A" w:rsidRPr="001D52A0" w:rsidRDefault="008F289A"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45</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2D973E4A" w14:textId="77777777" w:rsidR="008F289A" w:rsidRPr="001D52A0" w:rsidRDefault="008F289A"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103</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1E3D6D96" w14:textId="77777777" w:rsidR="008F289A" w:rsidRPr="001D52A0" w:rsidRDefault="008F289A"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58</w:t>
            </w:r>
          </w:p>
        </w:tc>
      </w:tr>
      <w:tr w:rsidR="008F289A" w:rsidRPr="001D52A0" w14:paraId="5435B69E" w14:textId="77777777" w:rsidTr="00D07C7F">
        <w:trPr>
          <w:jc w:val="center"/>
        </w:trPr>
        <w:tc>
          <w:tcPr>
            <w:tcW w:w="3974" w:type="dxa"/>
            <w:tcBorders>
              <w:top w:val="nil"/>
              <w:left w:val="single" w:sz="4" w:space="0" w:color="auto"/>
              <w:bottom w:val="single" w:sz="4" w:space="0" w:color="auto"/>
              <w:right w:val="single" w:sz="4" w:space="0" w:color="auto"/>
            </w:tcBorders>
            <w:shd w:val="clear" w:color="auto" w:fill="auto"/>
            <w:vAlign w:val="center"/>
          </w:tcPr>
          <w:p w14:paraId="1A5DC9A4" w14:textId="77777777" w:rsidR="008F289A" w:rsidRPr="001D52A0" w:rsidRDefault="008F289A" w:rsidP="00D07C7F">
            <w:pPr>
              <w:spacing w:line="240" w:lineRule="exact"/>
              <w:rPr>
                <w:rFonts w:asciiTheme="minorHAnsi" w:hAnsiTheme="minorHAnsi" w:cs="Arial"/>
                <w:sz w:val="22"/>
                <w:szCs w:val="22"/>
                <w:lang w:eastAsia="en-GB"/>
              </w:rPr>
            </w:pPr>
            <w:r w:rsidRPr="001D52A0">
              <w:rPr>
                <w:rFonts w:asciiTheme="minorHAnsi" w:hAnsiTheme="minorHAnsi" w:cs="Arial"/>
                <w:sz w:val="22"/>
                <w:szCs w:val="22"/>
                <w:lang w:eastAsia="en-GB"/>
              </w:rPr>
              <w:t>Employees</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1B0D477C" w14:textId="77777777" w:rsidR="008F289A" w:rsidRPr="001D52A0" w:rsidRDefault="008F289A" w:rsidP="00D07C7F">
            <w:pPr>
              <w:spacing w:line="240" w:lineRule="exact"/>
              <w:jc w:val="center"/>
              <w:rPr>
                <w:rFonts w:asciiTheme="minorHAnsi" w:hAnsiTheme="minorHAnsi" w:cs="Arial"/>
                <w:sz w:val="22"/>
                <w:szCs w:val="22"/>
                <w:lang w:eastAsia="en-GB"/>
              </w:rPr>
            </w:pPr>
            <w:r w:rsidRPr="001D52A0">
              <w:rPr>
                <w:rFonts w:asciiTheme="minorHAnsi" w:hAnsiTheme="minorHAnsi" w:cs="Arial"/>
                <w:sz w:val="22"/>
                <w:szCs w:val="22"/>
                <w:lang w:eastAsia="en-GB"/>
              </w:rPr>
              <w:t>308</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677C2EA5" w14:textId="77777777" w:rsidR="008F289A" w:rsidRPr="001D52A0" w:rsidRDefault="008F289A"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279</w:t>
            </w:r>
          </w:p>
        </w:tc>
        <w:tc>
          <w:tcPr>
            <w:tcW w:w="1361" w:type="dxa"/>
            <w:tcBorders>
              <w:top w:val="nil"/>
              <w:left w:val="nil"/>
              <w:bottom w:val="single" w:sz="4" w:space="0" w:color="auto"/>
              <w:right w:val="single" w:sz="4" w:space="0" w:color="auto"/>
            </w:tcBorders>
            <w:shd w:val="clear" w:color="auto" w:fill="FFFFFF" w:themeFill="background1"/>
            <w:vAlign w:val="center"/>
          </w:tcPr>
          <w:p w14:paraId="22165E8A" w14:textId="77777777" w:rsidR="008F289A" w:rsidRPr="001D52A0" w:rsidRDefault="008F289A"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267</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4F358B81" w14:textId="77777777" w:rsidR="008F289A" w:rsidRPr="001D52A0" w:rsidRDefault="0070745D"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(41)</w:t>
            </w:r>
          </w:p>
        </w:tc>
      </w:tr>
      <w:tr w:rsidR="008F289A" w:rsidRPr="001D52A0" w14:paraId="55A2FB3E" w14:textId="77777777" w:rsidTr="00D07C7F">
        <w:trPr>
          <w:jc w:val="center"/>
        </w:trPr>
        <w:tc>
          <w:tcPr>
            <w:tcW w:w="3974" w:type="dxa"/>
            <w:tcBorders>
              <w:top w:val="nil"/>
              <w:left w:val="single" w:sz="4" w:space="0" w:color="auto"/>
              <w:bottom w:val="single" w:sz="4" w:space="0" w:color="auto"/>
              <w:right w:val="single" w:sz="4" w:space="0" w:color="auto"/>
            </w:tcBorders>
            <w:shd w:val="clear" w:color="auto" w:fill="auto"/>
            <w:vAlign w:val="center"/>
          </w:tcPr>
          <w:p w14:paraId="2BABB4AD" w14:textId="77777777" w:rsidR="008F289A" w:rsidRPr="001D52A0" w:rsidRDefault="008F289A" w:rsidP="00D07C7F">
            <w:pPr>
              <w:spacing w:line="240" w:lineRule="exact"/>
              <w:rPr>
                <w:rFonts w:asciiTheme="minorHAnsi" w:hAnsiTheme="minorHAnsi" w:cs="Arial"/>
                <w:sz w:val="22"/>
                <w:szCs w:val="22"/>
                <w:lang w:eastAsia="en-GB"/>
              </w:rPr>
            </w:pPr>
            <w:r w:rsidRPr="001D52A0">
              <w:rPr>
                <w:rFonts w:asciiTheme="minorHAnsi" w:hAnsiTheme="minorHAnsi" w:cs="Arial"/>
                <w:sz w:val="22"/>
                <w:szCs w:val="22"/>
                <w:lang w:eastAsia="en-GB"/>
              </w:rPr>
              <w:t xml:space="preserve">Supplies and Services </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753F0C30" w14:textId="77777777" w:rsidR="008F289A" w:rsidRPr="001D52A0" w:rsidRDefault="008F289A" w:rsidP="00D07C7F">
            <w:pPr>
              <w:spacing w:line="240" w:lineRule="exact"/>
              <w:jc w:val="center"/>
              <w:rPr>
                <w:rFonts w:asciiTheme="minorHAnsi" w:hAnsiTheme="minorHAnsi" w:cs="Arial"/>
                <w:sz w:val="22"/>
                <w:szCs w:val="22"/>
                <w:lang w:eastAsia="en-GB"/>
              </w:rPr>
            </w:pPr>
            <w:r w:rsidRPr="001D52A0">
              <w:rPr>
                <w:rFonts w:asciiTheme="minorHAnsi" w:hAnsiTheme="minorHAnsi" w:cs="Arial"/>
                <w:sz w:val="22"/>
                <w:szCs w:val="22"/>
                <w:lang w:eastAsia="en-GB"/>
              </w:rPr>
              <w:t>660</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0EC38840" w14:textId="77777777" w:rsidR="008F289A" w:rsidRPr="001D52A0" w:rsidRDefault="008F289A"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660</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7E4EA7A2" w14:textId="77777777" w:rsidR="008F289A" w:rsidRPr="001D52A0" w:rsidRDefault="008F289A"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797</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2A81EE62" w14:textId="77777777" w:rsidR="008F289A" w:rsidRPr="001D52A0" w:rsidRDefault="008F289A"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137</w:t>
            </w:r>
          </w:p>
        </w:tc>
      </w:tr>
      <w:tr w:rsidR="008F289A" w:rsidRPr="001D52A0" w14:paraId="4D77A180" w14:textId="77777777" w:rsidTr="00D07C7F">
        <w:trPr>
          <w:jc w:val="center"/>
        </w:trPr>
        <w:tc>
          <w:tcPr>
            <w:tcW w:w="3974" w:type="dxa"/>
            <w:tcBorders>
              <w:top w:val="nil"/>
              <w:left w:val="single" w:sz="4" w:space="0" w:color="auto"/>
              <w:bottom w:val="single" w:sz="4" w:space="0" w:color="auto"/>
              <w:right w:val="single" w:sz="4" w:space="0" w:color="auto"/>
            </w:tcBorders>
            <w:shd w:val="clear" w:color="auto" w:fill="auto"/>
            <w:vAlign w:val="center"/>
          </w:tcPr>
          <w:p w14:paraId="688D6AF6" w14:textId="77777777" w:rsidR="008F289A" w:rsidRPr="001D52A0" w:rsidRDefault="008F289A" w:rsidP="00D07C7F">
            <w:pPr>
              <w:spacing w:line="240" w:lineRule="exact"/>
              <w:rPr>
                <w:rFonts w:asciiTheme="minorHAnsi" w:hAnsiTheme="minorHAnsi" w:cs="Arial"/>
                <w:bCs/>
                <w:color w:val="000000"/>
                <w:sz w:val="22"/>
                <w:szCs w:val="22"/>
                <w:lang w:eastAsia="en-GB"/>
              </w:rPr>
            </w:pPr>
            <w:r w:rsidRPr="001D52A0">
              <w:rPr>
                <w:rFonts w:asciiTheme="minorHAnsi" w:hAnsiTheme="minorHAnsi" w:cs="Arial"/>
                <w:bCs/>
                <w:color w:val="000000"/>
                <w:sz w:val="22"/>
                <w:szCs w:val="22"/>
                <w:lang w:eastAsia="en-GB"/>
              </w:rPr>
              <w:t>Other Income</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144D5FB9" w14:textId="77777777" w:rsidR="008F289A" w:rsidRPr="001D52A0" w:rsidRDefault="008F289A" w:rsidP="00D07C7F">
            <w:pPr>
              <w:spacing w:line="240" w:lineRule="exact"/>
              <w:jc w:val="center"/>
              <w:rPr>
                <w:rFonts w:asciiTheme="minorHAnsi" w:hAnsiTheme="minorHAnsi" w:cs="Arial"/>
                <w:b/>
                <w:bCs/>
                <w:color w:val="000000"/>
                <w:sz w:val="22"/>
                <w:szCs w:val="22"/>
                <w:lang w:eastAsia="en-GB"/>
              </w:rPr>
            </w:pP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775DF573" w14:textId="77777777" w:rsidR="008F289A" w:rsidRPr="001D52A0" w:rsidRDefault="008F289A" w:rsidP="00D07C7F">
            <w:pPr>
              <w:spacing w:line="240" w:lineRule="exact"/>
              <w:jc w:val="center"/>
              <w:rPr>
                <w:rFonts w:asciiTheme="minorHAnsi" w:hAnsiTheme="minorHAnsi" w:cs="Arial"/>
                <w:color w:val="000000"/>
                <w:sz w:val="22"/>
                <w:szCs w:val="22"/>
                <w:lang w:eastAsia="en-GB"/>
              </w:rPr>
            </w:pPr>
          </w:p>
        </w:tc>
        <w:tc>
          <w:tcPr>
            <w:tcW w:w="1361" w:type="dxa"/>
            <w:tcBorders>
              <w:top w:val="nil"/>
              <w:left w:val="nil"/>
              <w:bottom w:val="single" w:sz="4" w:space="0" w:color="auto"/>
              <w:right w:val="single" w:sz="4" w:space="0" w:color="auto"/>
            </w:tcBorders>
            <w:shd w:val="clear" w:color="auto" w:fill="FFFFFF" w:themeFill="background1"/>
            <w:noWrap/>
            <w:vAlign w:val="center"/>
          </w:tcPr>
          <w:p w14:paraId="6A9E3449" w14:textId="77777777" w:rsidR="008F289A" w:rsidRPr="001D52A0" w:rsidRDefault="0070745D"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83</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5248C9EE" w14:textId="77777777" w:rsidR="008F289A" w:rsidRPr="001D52A0" w:rsidRDefault="0070745D"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(83)</w:t>
            </w:r>
          </w:p>
        </w:tc>
      </w:tr>
      <w:tr w:rsidR="008F289A" w:rsidRPr="001D52A0" w14:paraId="1CDF8FB6" w14:textId="77777777" w:rsidTr="00D07C7F">
        <w:trPr>
          <w:jc w:val="center"/>
        </w:trPr>
        <w:tc>
          <w:tcPr>
            <w:tcW w:w="3974" w:type="dxa"/>
            <w:tcBorders>
              <w:top w:val="nil"/>
              <w:left w:val="single" w:sz="4" w:space="0" w:color="auto"/>
              <w:bottom w:val="single" w:sz="4" w:space="0" w:color="auto"/>
              <w:right w:val="single" w:sz="4" w:space="0" w:color="auto"/>
            </w:tcBorders>
            <w:shd w:val="clear" w:color="auto" w:fill="auto"/>
            <w:vAlign w:val="center"/>
          </w:tcPr>
          <w:p w14:paraId="017B96E0" w14:textId="77777777" w:rsidR="008F289A" w:rsidRPr="001D52A0" w:rsidRDefault="008F289A" w:rsidP="00D07C7F">
            <w:pPr>
              <w:spacing w:line="240" w:lineRule="exact"/>
              <w:rPr>
                <w:rFonts w:asciiTheme="minorHAnsi" w:hAnsiTheme="minorHAnsi" w:cs="Arial"/>
                <w:bCs/>
                <w:color w:val="000000"/>
                <w:sz w:val="22"/>
                <w:szCs w:val="22"/>
                <w:lang w:eastAsia="en-GB"/>
              </w:rPr>
            </w:pPr>
            <w:r w:rsidRPr="001D52A0">
              <w:rPr>
                <w:rFonts w:asciiTheme="minorHAnsi" w:hAnsiTheme="minorHAnsi" w:cs="Arial"/>
                <w:bCs/>
                <w:color w:val="000000"/>
                <w:sz w:val="22"/>
                <w:szCs w:val="22"/>
                <w:lang w:eastAsia="en-GB"/>
              </w:rPr>
              <w:t>Depreciation</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7D57CE03" w14:textId="77777777" w:rsidR="008F289A" w:rsidRPr="001D52A0" w:rsidRDefault="008F289A" w:rsidP="00D07C7F">
            <w:pPr>
              <w:spacing w:line="240" w:lineRule="exact"/>
              <w:jc w:val="center"/>
              <w:rPr>
                <w:rFonts w:asciiTheme="minorHAnsi" w:hAnsiTheme="minorHAnsi" w:cs="Arial"/>
                <w:b/>
                <w:bCs/>
                <w:color w:val="000000"/>
                <w:sz w:val="22"/>
                <w:szCs w:val="22"/>
                <w:lang w:eastAsia="en-GB"/>
              </w:rPr>
            </w:pP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2C87439A" w14:textId="77777777" w:rsidR="008F289A" w:rsidRPr="001D52A0" w:rsidRDefault="008F289A" w:rsidP="00D07C7F">
            <w:pPr>
              <w:spacing w:line="240" w:lineRule="exact"/>
              <w:jc w:val="center"/>
              <w:rPr>
                <w:rFonts w:asciiTheme="minorHAnsi" w:hAnsiTheme="minorHAnsi" w:cs="Arial"/>
                <w:color w:val="000000"/>
                <w:sz w:val="22"/>
                <w:szCs w:val="22"/>
                <w:lang w:eastAsia="en-GB"/>
              </w:rPr>
            </w:pPr>
          </w:p>
        </w:tc>
        <w:tc>
          <w:tcPr>
            <w:tcW w:w="1361" w:type="dxa"/>
            <w:tcBorders>
              <w:top w:val="nil"/>
              <w:left w:val="nil"/>
              <w:bottom w:val="single" w:sz="4" w:space="0" w:color="auto"/>
              <w:right w:val="single" w:sz="4" w:space="0" w:color="auto"/>
            </w:tcBorders>
            <w:shd w:val="clear" w:color="auto" w:fill="FFFFFF" w:themeFill="background1"/>
            <w:noWrap/>
            <w:vAlign w:val="center"/>
          </w:tcPr>
          <w:p w14:paraId="5C39295C" w14:textId="77777777" w:rsidR="008F289A" w:rsidRPr="001D52A0" w:rsidRDefault="008F289A"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5</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17F49407" w14:textId="77777777" w:rsidR="008F289A" w:rsidRPr="001D52A0" w:rsidRDefault="008F289A"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5</w:t>
            </w:r>
          </w:p>
        </w:tc>
      </w:tr>
      <w:tr w:rsidR="008F289A" w:rsidRPr="001D52A0" w14:paraId="2C2914D5" w14:textId="77777777" w:rsidTr="00D07C7F">
        <w:trPr>
          <w:jc w:val="center"/>
        </w:trPr>
        <w:tc>
          <w:tcPr>
            <w:tcW w:w="3974" w:type="dxa"/>
            <w:tcBorders>
              <w:top w:val="nil"/>
              <w:left w:val="single" w:sz="4" w:space="0" w:color="auto"/>
              <w:bottom w:val="single" w:sz="4" w:space="0" w:color="auto"/>
              <w:right w:val="single" w:sz="4" w:space="0" w:color="auto"/>
            </w:tcBorders>
            <w:shd w:val="clear" w:color="auto" w:fill="auto"/>
            <w:vAlign w:val="center"/>
            <w:hideMark/>
          </w:tcPr>
          <w:p w14:paraId="4798F150" w14:textId="77777777" w:rsidR="008F289A" w:rsidRPr="001D52A0" w:rsidRDefault="008F289A" w:rsidP="00D07C7F">
            <w:pPr>
              <w:spacing w:line="240" w:lineRule="exact"/>
              <w:rPr>
                <w:rFonts w:asciiTheme="minorHAnsi" w:hAnsiTheme="minorHAnsi" w:cs="Arial"/>
                <w:b/>
                <w:bCs/>
                <w:color w:val="000000"/>
                <w:sz w:val="22"/>
                <w:szCs w:val="22"/>
                <w:lang w:eastAsia="en-GB"/>
              </w:rPr>
            </w:pPr>
            <w:r w:rsidRPr="001D52A0">
              <w:rPr>
                <w:rFonts w:asciiTheme="minorHAnsi" w:hAnsiTheme="minorHAnsi" w:cs="Arial"/>
                <w:b/>
                <w:bCs/>
                <w:color w:val="000000"/>
                <w:sz w:val="22"/>
                <w:szCs w:val="22"/>
                <w:lang w:eastAsia="en-GB"/>
              </w:rPr>
              <w:t>Programme costs</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516E6CBE" w14:textId="77777777" w:rsidR="008F289A" w:rsidRPr="001D52A0" w:rsidRDefault="008F289A" w:rsidP="00D07C7F">
            <w:pPr>
              <w:spacing w:line="240" w:lineRule="exact"/>
              <w:jc w:val="center"/>
              <w:rPr>
                <w:rFonts w:asciiTheme="minorHAnsi" w:hAnsiTheme="minorHAnsi" w:cs="Arial"/>
                <w:b/>
                <w:bCs/>
                <w:color w:val="000000"/>
                <w:sz w:val="22"/>
                <w:szCs w:val="22"/>
                <w:lang w:eastAsia="en-GB"/>
              </w:rPr>
            </w:pPr>
            <w:r w:rsidRPr="001D52A0">
              <w:rPr>
                <w:rFonts w:asciiTheme="minorHAnsi" w:hAnsiTheme="minorHAnsi" w:cs="Arial"/>
                <w:b/>
                <w:bCs/>
                <w:color w:val="000000"/>
                <w:sz w:val="22"/>
                <w:szCs w:val="22"/>
                <w:lang w:eastAsia="en-GB"/>
              </w:rPr>
              <w:t>1,120</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144E9755" w14:textId="77777777" w:rsidR="008F289A" w:rsidRPr="001D52A0" w:rsidRDefault="008F289A" w:rsidP="00D07C7F">
            <w:pPr>
              <w:spacing w:line="240" w:lineRule="exact"/>
              <w:jc w:val="center"/>
              <w:rPr>
                <w:rFonts w:asciiTheme="minorHAnsi" w:hAnsiTheme="minorHAnsi" w:cs="Arial"/>
                <w:b/>
                <w:color w:val="000000"/>
                <w:sz w:val="22"/>
                <w:szCs w:val="22"/>
                <w:lang w:eastAsia="en-GB"/>
              </w:rPr>
            </w:pPr>
            <w:r w:rsidRPr="001D52A0">
              <w:rPr>
                <w:rFonts w:asciiTheme="minorHAnsi" w:hAnsiTheme="minorHAnsi" w:cs="Arial"/>
                <w:b/>
                <w:color w:val="000000"/>
                <w:sz w:val="22"/>
                <w:szCs w:val="22"/>
                <w:lang w:eastAsia="en-GB"/>
              </w:rPr>
              <w:t>1,091</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26105758" w14:textId="77777777" w:rsidR="008F289A" w:rsidRPr="001D52A0" w:rsidRDefault="008F289A" w:rsidP="00D07C7F">
            <w:pPr>
              <w:spacing w:line="240" w:lineRule="exact"/>
              <w:jc w:val="center"/>
              <w:rPr>
                <w:rFonts w:asciiTheme="minorHAnsi" w:hAnsiTheme="minorHAnsi" w:cs="Arial"/>
                <w:b/>
                <w:color w:val="000000"/>
                <w:sz w:val="22"/>
                <w:szCs w:val="22"/>
                <w:lang w:eastAsia="en-GB"/>
              </w:rPr>
            </w:pPr>
            <w:r w:rsidRPr="001D52A0">
              <w:rPr>
                <w:rFonts w:asciiTheme="minorHAnsi" w:hAnsiTheme="minorHAnsi" w:cs="Arial"/>
                <w:b/>
                <w:color w:val="000000"/>
                <w:sz w:val="22"/>
                <w:szCs w:val="22"/>
                <w:lang w:eastAsia="en-GB"/>
              </w:rPr>
              <w:t>1,247</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5BF39F09" w14:textId="77777777" w:rsidR="008F289A" w:rsidRPr="001D52A0" w:rsidRDefault="008F289A" w:rsidP="00D07C7F">
            <w:pPr>
              <w:spacing w:line="240" w:lineRule="exact"/>
              <w:jc w:val="center"/>
              <w:rPr>
                <w:rFonts w:asciiTheme="minorHAnsi" w:hAnsiTheme="minorHAnsi" w:cs="Arial"/>
                <w:b/>
                <w:color w:val="000000"/>
                <w:sz w:val="22"/>
                <w:szCs w:val="22"/>
                <w:lang w:eastAsia="en-GB"/>
              </w:rPr>
            </w:pPr>
            <w:r w:rsidRPr="001D52A0">
              <w:rPr>
                <w:rFonts w:asciiTheme="minorHAnsi" w:hAnsiTheme="minorHAnsi" w:cs="Arial"/>
                <w:b/>
                <w:color w:val="000000"/>
                <w:sz w:val="22"/>
                <w:szCs w:val="22"/>
                <w:lang w:eastAsia="en-GB"/>
              </w:rPr>
              <w:t>127</w:t>
            </w:r>
          </w:p>
        </w:tc>
      </w:tr>
      <w:tr w:rsidR="00DB545D" w:rsidRPr="001D52A0" w14:paraId="0F919050" w14:textId="77777777" w:rsidTr="00D07C7F">
        <w:trPr>
          <w:jc w:val="center"/>
        </w:trPr>
        <w:tc>
          <w:tcPr>
            <w:tcW w:w="3974" w:type="dxa"/>
            <w:tcBorders>
              <w:top w:val="single" w:sz="4" w:space="0" w:color="auto"/>
              <w:bottom w:val="single" w:sz="4" w:space="0" w:color="auto"/>
            </w:tcBorders>
            <w:shd w:val="clear" w:color="auto" w:fill="auto"/>
            <w:vAlign w:val="center"/>
          </w:tcPr>
          <w:p w14:paraId="3F10ECD2" w14:textId="77777777" w:rsidR="00DB545D" w:rsidRPr="001D52A0" w:rsidRDefault="00DB545D" w:rsidP="00D07C7F">
            <w:pPr>
              <w:spacing w:line="240" w:lineRule="exact"/>
              <w:rPr>
                <w:rFonts w:asciiTheme="minorHAnsi" w:hAnsiTheme="minorHAnsi" w:cs="Arial"/>
                <w:color w:val="000000"/>
                <w:sz w:val="22"/>
                <w:szCs w:val="22"/>
                <w:lang w:eastAsia="en-GB"/>
              </w:rPr>
            </w:pPr>
          </w:p>
        </w:tc>
        <w:tc>
          <w:tcPr>
            <w:tcW w:w="1361" w:type="dxa"/>
            <w:tcBorders>
              <w:top w:val="nil"/>
              <w:bottom w:val="single" w:sz="4" w:space="0" w:color="auto"/>
            </w:tcBorders>
            <w:shd w:val="clear" w:color="auto" w:fill="FFFFFF" w:themeFill="background1"/>
            <w:vAlign w:val="center"/>
          </w:tcPr>
          <w:p w14:paraId="075A0C09" w14:textId="77777777" w:rsidR="00DB545D" w:rsidRPr="001D52A0" w:rsidRDefault="00DB545D" w:rsidP="00D07C7F">
            <w:pPr>
              <w:spacing w:line="240" w:lineRule="exact"/>
              <w:jc w:val="center"/>
              <w:rPr>
                <w:rFonts w:asciiTheme="minorHAnsi" w:hAnsiTheme="minorHAnsi" w:cs="Arial"/>
                <w:color w:val="000000"/>
                <w:sz w:val="22"/>
                <w:szCs w:val="22"/>
                <w:lang w:eastAsia="en-GB"/>
              </w:rPr>
            </w:pPr>
          </w:p>
        </w:tc>
        <w:tc>
          <w:tcPr>
            <w:tcW w:w="1361" w:type="dxa"/>
            <w:tcBorders>
              <w:top w:val="nil"/>
              <w:bottom w:val="single" w:sz="4" w:space="0" w:color="auto"/>
            </w:tcBorders>
            <w:shd w:val="clear" w:color="auto" w:fill="FFFFFF" w:themeFill="background1"/>
            <w:vAlign w:val="center"/>
          </w:tcPr>
          <w:p w14:paraId="248C5D49" w14:textId="77777777" w:rsidR="00DB545D" w:rsidRPr="001D52A0" w:rsidRDefault="00DB545D" w:rsidP="00D07C7F">
            <w:pPr>
              <w:spacing w:line="240" w:lineRule="exact"/>
              <w:jc w:val="center"/>
              <w:rPr>
                <w:rFonts w:asciiTheme="minorHAnsi" w:hAnsiTheme="minorHAnsi" w:cs="Arial"/>
                <w:b/>
                <w:color w:val="000000"/>
                <w:sz w:val="22"/>
                <w:szCs w:val="22"/>
                <w:lang w:eastAsia="en-GB"/>
              </w:rPr>
            </w:pPr>
          </w:p>
        </w:tc>
        <w:tc>
          <w:tcPr>
            <w:tcW w:w="1361" w:type="dxa"/>
            <w:tcBorders>
              <w:top w:val="nil"/>
              <w:left w:val="nil"/>
              <w:bottom w:val="single" w:sz="4" w:space="0" w:color="auto"/>
              <w:right w:val="nil"/>
            </w:tcBorders>
            <w:shd w:val="clear" w:color="auto" w:fill="FFFFFF" w:themeFill="background1"/>
            <w:noWrap/>
            <w:vAlign w:val="center"/>
          </w:tcPr>
          <w:p w14:paraId="37E36CD9" w14:textId="77777777" w:rsidR="00DB545D" w:rsidRPr="001D52A0" w:rsidRDefault="00DB545D" w:rsidP="00D07C7F">
            <w:pPr>
              <w:spacing w:line="240" w:lineRule="exact"/>
              <w:jc w:val="center"/>
              <w:rPr>
                <w:rFonts w:asciiTheme="minorHAnsi" w:hAnsiTheme="minorHAnsi" w:cs="Arial"/>
                <w:b/>
                <w:color w:val="000000"/>
                <w:sz w:val="22"/>
                <w:szCs w:val="22"/>
                <w:lang w:eastAsia="en-GB"/>
              </w:rPr>
            </w:pPr>
          </w:p>
        </w:tc>
        <w:tc>
          <w:tcPr>
            <w:tcW w:w="1361" w:type="dxa"/>
            <w:tcBorders>
              <w:top w:val="single" w:sz="4" w:space="0" w:color="auto"/>
              <w:left w:val="nil"/>
              <w:bottom w:val="single" w:sz="4" w:space="0" w:color="auto"/>
            </w:tcBorders>
            <w:shd w:val="clear" w:color="auto" w:fill="FFFFFF" w:themeFill="background1"/>
            <w:noWrap/>
            <w:vAlign w:val="center"/>
          </w:tcPr>
          <w:p w14:paraId="2AD38492" w14:textId="77777777" w:rsidR="00DB545D" w:rsidRPr="001D52A0" w:rsidRDefault="00DB545D" w:rsidP="00D07C7F">
            <w:pPr>
              <w:spacing w:line="240" w:lineRule="exact"/>
              <w:jc w:val="center"/>
              <w:rPr>
                <w:rFonts w:asciiTheme="minorHAnsi" w:hAnsiTheme="minorHAnsi" w:cs="Arial"/>
                <w:b/>
                <w:color w:val="000000"/>
                <w:sz w:val="22"/>
                <w:szCs w:val="22"/>
                <w:lang w:eastAsia="en-GB"/>
              </w:rPr>
            </w:pPr>
          </w:p>
        </w:tc>
      </w:tr>
      <w:tr w:rsidR="008F289A" w:rsidRPr="001D52A0" w14:paraId="0CF6AD34" w14:textId="77777777" w:rsidTr="00D07C7F">
        <w:trPr>
          <w:jc w:val="center"/>
        </w:trPr>
        <w:tc>
          <w:tcPr>
            <w:tcW w:w="3974" w:type="dxa"/>
            <w:tcBorders>
              <w:top w:val="nil"/>
              <w:left w:val="single" w:sz="4" w:space="0" w:color="auto"/>
              <w:bottom w:val="single" w:sz="4" w:space="0" w:color="auto"/>
              <w:right w:val="single" w:sz="4" w:space="0" w:color="auto"/>
            </w:tcBorders>
            <w:shd w:val="clear" w:color="auto" w:fill="auto"/>
            <w:vAlign w:val="center"/>
            <w:hideMark/>
          </w:tcPr>
          <w:p w14:paraId="5E59F42C" w14:textId="77777777" w:rsidR="008F289A" w:rsidRPr="001D52A0" w:rsidRDefault="008F289A" w:rsidP="00D07C7F">
            <w:pPr>
              <w:spacing w:line="240" w:lineRule="exact"/>
              <w:rPr>
                <w:rFonts w:asciiTheme="minorHAnsi" w:hAnsiTheme="minorHAnsi" w:cs="Arial"/>
                <w:b/>
                <w:bCs/>
                <w:color w:val="000000"/>
                <w:sz w:val="22"/>
                <w:szCs w:val="22"/>
                <w:lang w:eastAsia="en-GB"/>
              </w:rPr>
            </w:pPr>
            <w:r w:rsidRPr="001D52A0">
              <w:rPr>
                <w:rFonts w:asciiTheme="minorHAnsi" w:hAnsiTheme="minorHAnsi" w:cs="Arial"/>
                <w:b/>
                <w:bCs/>
                <w:color w:val="000000"/>
                <w:sz w:val="22"/>
                <w:szCs w:val="22"/>
                <w:lang w:eastAsia="en-GB"/>
              </w:rPr>
              <w:t>Total costs</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3BF93525" w14:textId="77777777" w:rsidR="008F289A" w:rsidRPr="001D52A0" w:rsidRDefault="008F289A" w:rsidP="00D07C7F">
            <w:pPr>
              <w:spacing w:line="240" w:lineRule="exact"/>
              <w:jc w:val="center"/>
              <w:rPr>
                <w:rFonts w:asciiTheme="minorHAnsi" w:hAnsiTheme="minorHAnsi" w:cs="Arial"/>
                <w:b/>
                <w:bCs/>
                <w:color w:val="000000"/>
                <w:sz w:val="22"/>
                <w:szCs w:val="22"/>
                <w:lang w:eastAsia="en-GB"/>
              </w:rPr>
            </w:pPr>
            <w:r w:rsidRPr="001D52A0">
              <w:rPr>
                <w:rFonts w:asciiTheme="minorHAnsi" w:hAnsiTheme="minorHAnsi" w:cs="Arial"/>
                <w:b/>
                <w:bCs/>
                <w:color w:val="000000"/>
                <w:sz w:val="22"/>
                <w:szCs w:val="22"/>
                <w:lang w:eastAsia="en-GB"/>
              </w:rPr>
              <w:t>73,074</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62789B44" w14:textId="77777777" w:rsidR="008F289A" w:rsidRPr="001D52A0" w:rsidRDefault="008F289A" w:rsidP="00D07C7F">
            <w:pPr>
              <w:spacing w:line="240" w:lineRule="exact"/>
              <w:jc w:val="center"/>
              <w:rPr>
                <w:rFonts w:asciiTheme="minorHAnsi" w:hAnsiTheme="minorHAnsi" w:cs="Arial"/>
                <w:b/>
                <w:color w:val="000000"/>
                <w:sz w:val="22"/>
                <w:szCs w:val="22"/>
                <w:lang w:eastAsia="en-GB"/>
              </w:rPr>
            </w:pPr>
            <w:r w:rsidRPr="001D52A0">
              <w:rPr>
                <w:rFonts w:asciiTheme="minorHAnsi" w:hAnsiTheme="minorHAnsi" w:cs="Arial"/>
                <w:b/>
                <w:color w:val="000000"/>
                <w:sz w:val="22"/>
                <w:szCs w:val="22"/>
                <w:lang w:eastAsia="en-GB"/>
              </w:rPr>
              <w:t>77,151</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47E95CD7" w14:textId="1961AFCC" w:rsidR="008F289A" w:rsidRPr="001D52A0" w:rsidRDefault="008F289A" w:rsidP="00D07C7F">
            <w:pPr>
              <w:spacing w:line="240" w:lineRule="exact"/>
              <w:jc w:val="center"/>
              <w:rPr>
                <w:rFonts w:asciiTheme="minorHAnsi" w:hAnsiTheme="minorHAnsi" w:cs="Arial"/>
                <w:b/>
                <w:color w:val="000000"/>
                <w:sz w:val="22"/>
                <w:szCs w:val="22"/>
                <w:lang w:eastAsia="en-GB"/>
              </w:rPr>
            </w:pPr>
            <w:r w:rsidRPr="001D52A0">
              <w:rPr>
                <w:rFonts w:asciiTheme="minorHAnsi" w:hAnsiTheme="minorHAnsi" w:cs="Arial"/>
                <w:b/>
                <w:color w:val="000000"/>
                <w:sz w:val="22"/>
                <w:szCs w:val="22"/>
                <w:lang w:eastAsia="en-GB"/>
              </w:rPr>
              <w:t>83,2</w:t>
            </w:r>
            <w:r w:rsidR="00EC6A9D" w:rsidRPr="001D52A0">
              <w:rPr>
                <w:rFonts w:asciiTheme="minorHAnsi" w:hAnsiTheme="minorHAnsi" w:cs="Arial"/>
                <w:b/>
                <w:color w:val="000000"/>
                <w:sz w:val="22"/>
                <w:szCs w:val="22"/>
                <w:lang w:eastAsia="en-GB"/>
              </w:rPr>
              <w:t>0</w:t>
            </w:r>
            <w:r w:rsidRPr="001D52A0">
              <w:rPr>
                <w:rFonts w:asciiTheme="minorHAnsi" w:hAnsiTheme="minorHAnsi" w:cs="Arial"/>
                <w:b/>
                <w:color w:val="000000"/>
                <w:sz w:val="22"/>
                <w:szCs w:val="22"/>
                <w:lang w:eastAsia="en-GB"/>
              </w:rPr>
              <w:t>7</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5E9B757A" w14:textId="781DDE5D" w:rsidR="008F289A" w:rsidRPr="001D52A0" w:rsidRDefault="008F289A" w:rsidP="00D07C7F">
            <w:pPr>
              <w:spacing w:line="240" w:lineRule="exact"/>
              <w:jc w:val="center"/>
              <w:rPr>
                <w:rFonts w:asciiTheme="minorHAnsi" w:hAnsiTheme="minorHAnsi" w:cs="Arial"/>
                <w:b/>
                <w:color w:val="000000"/>
                <w:sz w:val="22"/>
                <w:szCs w:val="22"/>
                <w:lang w:eastAsia="en-GB"/>
              </w:rPr>
            </w:pPr>
            <w:r w:rsidRPr="001D52A0">
              <w:rPr>
                <w:rFonts w:asciiTheme="minorHAnsi" w:hAnsiTheme="minorHAnsi" w:cs="Arial"/>
                <w:b/>
                <w:color w:val="000000"/>
                <w:sz w:val="22"/>
                <w:szCs w:val="22"/>
                <w:lang w:eastAsia="en-GB"/>
              </w:rPr>
              <w:t>10,1</w:t>
            </w:r>
            <w:r w:rsidR="00EC6A9D" w:rsidRPr="001D52A0">
              <w:rPr>
                <w:rFonts w:asciiTheme="minorHAnsi" w:hAnsiTheme="minorHAnsi" w:cs="Arial"/>
                <w:b/>
                <w:color w:val="000000"/>
                <w:sz w:val="22"/>
                <w:szCs w:val="22"/>
                <w:lang w:eastAsia="en-GB"/>
              </w:rPr>
              <w:t>33</w:t>
            </w:r>
          </w:p>
        </w:tc>
      </w:tr>
      <w:tr w:rsidR="00DB545D" w:rsidRPr="001D52A0" w14:paraId="34F02C27" w14:textId="77777777" w:rsidTr="00D07C7F">
        <w:trPr>
          <w:jc w:val="center"/>
        </w:trPr>
        <w:tc>
          <w:tcPr>
            <w:tcW w:w="3974" w:type="dxa"/>
            <w:tcBorders>
              <w:top w:val="single" w:sz="4" w:space="0" w:color="auto"/>
              <w:bottom w:val="single" w:sz="4" w:space="0" w:color="auto"/>
            </w:tcBorders>
            <w:shd w:val="clear" w:color="auto" w:fill="auto"/>
            <w:vAlign w:val="center"/>
          </w:tcPr>
          <w:p w14:paraId="6E5F5C3C" w14:textId="77777777" w:rsidR="00DB545D" w:rsidRPr="001D52A0" w:rsidRDefault="00DB545D" w:rsidP="00D07C7F">
            <w:pPr>
              <w:spacing w:line="240" w:lineRule="exact"/>
              <w:rPr>
                <w:rFonts w:asciiTheme="minorHAnsi" w:hAnsiTheme="minorHAnsi" w:cs="Arial"/>
                <w:color w:val="000000"/>
                <w:sz w:val="22"/>
                <w:szCs w:val="22"/>
                <w:lang w:eastAsia="en-GB"/>
              </w:rPr>
            </w:pPr>
          </w:p>
        </w:tc>
        <w:tc>
          <w:tcPr>
            <w:tcW w:w="1361" w:type="dxa"/>
            <w:tcBorders>
              <w:top w:val="nil"/>
              <w:bottom w:val="single" w:sz="4" w:space="0" w:color="auto"/>
            </w:tcBorders>
            <w:shd w:val="clear" w:color="auto" w:fill="FFFFFF" w:themeFill="background1"/>
            <w:vAlign w:val="center"/>
          </w:tcPr>
          <w:p w14:paraId="5B625A6A" w14:textId="77777777" w:rsidR="00DB545D" w:rsidRPr="001D52A0" w:rsidRDefault="00DB545D" w:rsidP="00D07C7F">
            <w:pPr>
              <w:spacing w:line="240" w:lineRule="exact"/>
              <w:jc w:val="center"/>
              <w:rPr>
                <w:rFonts w:asciiTheme="minorHAnsi" w:hAnsiTheme="minorHAnsi" w:cs="Arial"/>
                <w:color w:val="000000"/>
                <w:sz w:val="22"/>
                <w:szCs w:val="22"/>
                <w:lang w:eastAsia="en-GB"/>
              </w:rPr>
            </w:pPr>
          </w:p>
        </w:tc>
        <w:tc>
          <w:tcPr>
            <w:tcW w:w="1361" w:type="dxa"/>
            <w:tcBorders>
              <w:top w:val="nil"/>
              <w:bottom w:val="single" w:sz="4" w:space="0" w:color="auto"/>
            </w:tcBorders>
            <w:shd w:val="clear" w:color="auto" w:fill="FFFFFF" w:themeFill="background1"/>
            <w:vAlign w:val="center"/>
          </w:tcPr>
          <w:p w14:paraId="67336EA5" w14:textId="77777777" w:rsidR="00DB545D" w:rsidRPr="001D52A0" w:rsidRDefault="00DB545D" w:rsidP="00D07C7F">
            <w:pPr>
              <w:spacing w:line="240" w:lineRule="exact"/>
              <w:jc w:val="center"/>
              <w:rPr>
                <w:rFonts w:asciiTheme="minorHAnsi" w:hAnsiTheme="minorHAnsi" w:cs="Arial"/>
                <w:color w:val="000000"/>
                <w:sz w:val="22"/>
                <w:szCs w:val="22"/>
                <w:lang w:eastAsia="en-GB"/>
              </w:rPr>
            </w:pPr>
          </w:p>
        </w:tc>
        <w:tc>
          <w:tcPr>
            <w:tcW w:w="1361" w:type="dxa"/>
            <w:tcBorders>
              <w:top w:val="nil"/>
              <w:left w:val="nil"/>
              <w:bottom w:val="single" w:sz="4" w:space="0" w:color="auto"/>
              <w:right w:val="nil"/>
            </w:tcBorders>
            <w:shd w:val="clear" w:color="auto" w:fill="FFFFFF" w:themeFill="background1"/>
            <w:noWrap/>
            <w:vAlign w:val="center"/>
          </w:tcPr>
          <w:p w14:paraId="3B289D7D" w14:textId="77777777" w:rsidR="00DB545D" w:rsidRPr="001D52A0" w:rsidRDefault="00DB545D" w:rsidP="00D07C7F">
            <w:pPr>
              <w:spacing w:line="240" w:lineRule="exact"/>
              <w:jc w:val="center"/>
              <w:rPr>
                <w:rFonts w:asciiTheme="minorHAnsi" w:hAnsiTheme="minorHAnsi" w:cs="Arial"/>
                <w:color w:val="000000"/>
                <w:sz w:val="22"/>
                <w:szCs w:val="22"/>
                <w:lang w:eastAsia="en-GB"/>
              </w:rPr>
            </w:pPr>
          </w:p>
        </w:tc>
        <w:tc>
          <w:tcPr>
            <w:tcW w:w="1361" w:type="dxa"/>
            <w:tcBorders>
              <w:top w:val="single" w:sz="4" w:space="0" w:color="auto"/>
              <w:left w:val="nil"/>
              <w:bottom w:val="single" w:sz="4" w:space="0" w:color="auto"/>
            </w:tcBorders>
            <w:shd w:val="clear" w:color="auto" w:fill="FFFFFF" w:themeFill="background1"/>
            <w:noWrap/>
            <w:vAlign w:val="center"/>
          </w:tcPr>
          <w:p w14:paraId="202E8D51" w14:textId="77777777" w:rsidR="00DB545D" w:rsidRPr="001D52A0" w:rsidRDefault="00DB545D" w:rsidP="00D07C7F">
            <w:pPr>
              <w:spacing w:line="240" w:lineRule="exact"/>
              <w:jc w:val="center"/>
              <w:rPr>
                <w:rFonts w:asciiTheme="minorHAnsi" w:hAnsiTheme="minorHAnsi" w:cs="Arial"/>
                <w:color w:val="000000"/>
                <w:sz w:val="22"/>
                <w:szCs w:val="22"/>
                <w:lang w:eastAsia="en-GB"/>
              </w:rPr>
            </w:pPr>
          </w:p>
        </w:tc>
      </w:tr>
      <w:tr w:rsidR="00DB545D" w:rsidRPr="001D52A0" w14:paraId="035AE072" w14:textId="77777777" w:rsidTr="00D07C7F">
        <w:trPr>
          <w:jc w:val="center"/>
        </w:trPr>
        <w:tc>
          <w:tcPr>
            <w:tcW w:w="3974" w:type="dxa"/>
            <w:tcBorders>
              <w:top w:val="single" w:sz="4" w:space="0" w:color="auto"/>
              <w:left w:val="single" w:sz="4" w:space="0" w:color="auto"/>
              <w:bottom w:val="single" w:sz="4" w:space="0" w:color="auto"/>
            </w:tcBorders>
            <w:shd w:val="clear" w:color="auto" w:fill="auto"/>
            <w:vAlign w:val="center"/>
            <w:hideMark/>
          </w:tcPr>
          <w:p w14:paraId="7CDA91D5" w14:textId="77777777" w:rsidR="00DB545D" w:rsidRPr="001D52A0" w:rsidRDefault="00DB545D" w:rsidP="00D07C7F">
            <w:pPr>
              <w:spacing w:line="240" w:lineRule="exact"/>
              <w:rPr>
                <w:rFonts w:asciiTheme="minorHAnsi" w:hAnsiTheme="minorHAnsi" w:cs="Arial"/>
                <w:b/>
                <w:bCs/>
                <w:color w:val="000000"/>
                <w:sz w:val="22"/>
                <w:szCs w:val="22"/>
                <w:lang w:eastAsia="en-GB"/>
              </w:rPr>
            </w:pPr>
            <w:r w:rsidRPr="001D52A0">
              <w:rPr>
                <w:rFonts w:asciiTheme="minorHAnsi" w:hAnsiTheme="minorHAnsi" w:cs="Arial"/>
                <w:b/>
                <w:bCs/>
                <w:color w:val="000000"/>
                <w:sz w:val="22"/>
                <w:szCs w:val="22"/>
                <w:lang w:eastAsia="en-GB"/>
              </w:rPr>
              <w:t>Income</w:t>
            </w:r>
          </w:p>
        </w:tc>
        <w:tc>
          <w:tcPr>
            <w:tcW w:w="1361" w:type="dxa"/>
            <w:tcBorders>
              <w:top w:val="nil"/>
              <w:left w:val="nil"/>
              <w:bottom w:val="single" w:sz="4" w:space="0" w:color="auto"/>
              <w:right w:val="nil"/>
            </w:tcBorders>
            <w:shd w:val="clear" w:color="auto" w:fill="FFFFFF" w:themeFill="background1"/>
            <w:vAlign w:val="center"/>
          </w:tcPr>
          <w:p w14:paraId="68198506" w14:textId="77777777" w:rsidR="00DB545D" w:rsidRPr="001D52A0" w:rsidRDefault="00DB545D" w:rsidP="00D07C7F">
            <w:pPr>
              <w:spacing w:line="240" w:lineRule="exact"/>
              <w:jc w:val="center"/>
              <w:rPr>
                <w:rFonts w:asciiTheme="minorHAnsi" w:hAnsiTheme="minorHAnsi" w:cs="Arial"/>
                <w:b/>
                <w:bCs/>
                <w:color w:val="000000"/>
                <w:sz w:val="22"/>
                <w:szCs w:val="22"/>
                <w:lang w:eastAsia="en-GB"/>
              </w:rPr>
            </w:pPr>
          </w:p>
        </w:tc>
        <w:tc>
          <w:tcPr>
            <w:tcW w:w="1361" w:type="dxa"/>
            <w:tcBorders>
              <w:top w:val="nil"/>
              <w:left w:val="nil"/>
              <w:bottom w:val="single" w:sz="4" w:space="0" w:color="auto"/>
            </w:tcBorders>
            <w:shd w:val="clear" w:color="auto" w:fill="FFFFFF" w:themeFill="background1"/>
            <w:vAlign w:val="center"/>
          </w:tcPr>
          <w:p w14:paraId="36111FB5" w14:textId="77777777" w:rsidR="00DB545D" w:rsidRPr="001D52A0" w:rsidRDefault="00DB545D" w:rsidP="00D07C7F">
            <w:pPr>
              <w:spacing w:line="240" w:lineRule="exact"/>
              <w:jc w:val="center"/>
              <w:rPr>
                <w:rFonts w:asciiTheme="minorHAnsi" w:hAnsiTheme="minorHAnsi" w:cs="Arial"/>
                <w:color w:val="000000"/>
                <w:sz w:val="22"/>
                <w:szCs w:val="22"/>
                <w:lang w:eastAsia="en-GB"/>
              </w:rPr>
            </w:pPr>
          </w:p>
        </w:tc>
        <w:tc>
          <w:tcPr>
            <w:tcW w:w="1361" w:type="dxa"/>
            <w:tcBorders>
              <w:top w:val="nil"/>
              <w:left w:val="nil"/>
              <w:bottom w:val="single" w:sz="4" w:space="0" w:color="auto"/>
              <w:right w:val="nil"/>
            </w:tcBorders>
            <w:shd w:val="clear" w:color="auto" w:fill="FFFFFF" w:themeFill="background1"/>
            <w:noWrap/>
            <w:vAlign w:val="center"/>
          </w:tcPr>
          <w:p w14:paraId="49FA2524" w14:textId="77777777" w:rsidR="00DB545D" w:rsidRPr="001D52A0" w:rsidRDefault="00DB545D" w:rsidP="00D07C7F">
            <w:pPr>
              <w:spacing w:line="240" w:lineRule="exact"/>
              <w:jc w:val="center"/>
              <w:rPr>
                <w:rFonts w:asciiTheme="minorHAnsi" w:hAnsiTheme="minorHAnsi" w:cs="Arial"/>
                <w:color w:val="000000"/>
                <w:sz w:val="22"/>
                <w:szCs w:val="22"/>
                <w:lang w:eastAsia="en-GB"/>
              </w:rPr>
            </w:pPr>
          </w:p>
        </w:tc>
        <w:tc>
          <w:tcPr>
            <w:tcW w:w="1361" w:type="dxa"/>
            <w:tcBorders>
              <w:top w:val="nil"/>
              <w:left w:val="nil"/>
              <w:bottom w:val="single" w:sz="4" w:space="0" w:color="auto"/>
              <w:right w:val="single" w:sz="4" w:space="0" w:color="auto"/>
            </w:tcBorders>
            <w:shd w:val="clear" w:color="auto" w:fill="FFFFFF" w:themeFill="background1"/>
            <w:noWrap/>
            <w:vAlign w:val="center"/>
          </w:tcPr>
          <w:p w14:paraId="1C6FAD5F" w14:textId="77777777" w:rsidR="00DB545D" w:rsidRPr="001D52A0" w:rsidRDefault="00DB545D" w:rsidP="00D07C7F">
            <w:pPr>
              <w:spacing w:line="240" w:lineRule="exact"/>
              <w:jc w:val="center"/>
              <w:rPr>
                <w:rFonts w:asciiTheme="minorHAnsi" w:hAnsiTheme="minorHAnsi" w:cs="Arial"/>
                <w:color w:val="000000"/>
                <w:sz w:val="22"/>
                <w:szCs w:val="22"/>
                <w:lang w:eastAsia="en-GB"/>
              </w:rPr>
            </w:pPr>
          </w:p>
        </w:tc>
      </w:tr>
      <w:tr w:rsidR="00DB545D" w:rsidRPr="001D52A0" w14:paraId="46CE294C" w14:textId="77777777" w:rsidTr="00D07C7F">
        <w:trPr>
          <w:jc w:val="center"/>
        </w:trPr>
        <w:tc>
          <w:tcPr>
            <w:tcW w:w="3974" w:type="dxa"/>
            <w:tcBorders>
              <w:top w:val="nil"/>
              <w:left w:val="single" w:sz="4" w:space="0" w:color="auto"/>
              <w:bottom w:val="single" w:sz="4" w:space="0" w:color="auto"/>
              <w:right w:val="single" w:sz="4" w:space="0" w:color="auto"/>
            </w:tcBorders>
            <w:shd w:val="clear" w:color="auto" w:fill="auto"/>
            <w:vAlign w:val="center"/>
          </w:tcPr>
          <w:p w14:paraId="50611B1A" w14:textId="77777777" w:rsidR="00DB545D" w:rsidRPr="001D52A0" w:rsidRDefault="00DB545D" w:rsidP="00D07C7F">
            <w:pPr>
              <w:spacing w:line="240" w:lineRule="exac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Levies</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38599C4C" w14:textId="77777777" w:rsidR="00DB545D" w:rsidRPr="001D52A0" w:rsidRDefault="00DB545D" w:rsidP="00D07C7F">
            <w:pPr>
              <w:spacing w:line="240" w:lineRule="exact"/>
              <w:jc w:val="center"/>
              <w:rPr>
                <w:rFonts w:asciiTheme="minorHAnsi" w:hAnsiTheme="minorHAnsi" w:cs="Arial"/>
                <w:sz w:val="22"/>
                <w:szCs w:val="22"/>
                <w:lang w:eastAsia="en-GB"/>
              </w:rPr>
            </w:pPr>
            <w:r w:rsidRPr="001D52A0">
              <w:rPr>
                <w:rFonts w:asciiTheme="minorHAnsi" w:hAnsiTheme="minorHAnsi" w:cs="Arial"/>
                <w:sz w:val="22"/>
                <w:szCs w:val="22"/>
                <w:lang w:eastAsia="en-GB"/>
              </w:rPr>
              <w:t>67,116</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60CDE001" w14:textId="77777777" w:rsidR="00DB545D" w:rsidRPr="001D52A0" w:rsidRDefault="008F289A"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67,364</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551782BE" w14:textId="33174F42" w:rsidR="00DB545D" w:rsidRPr="001D52A0" w:rsidRDefault="008F289A"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72,5</w:t>
            </w:r>
            <w:r w:rsidR="00FD0AA3" w:rsidRPr="001D52A0">
              <w:rPr>
                <w:rFonts w:asciiTheme="minorHAnsi" w:hAnsiTheme="minorHAnsi" w:cs="Arial"/>
                <w:color w:val="000000"/>
                <w:sz w:val="22"/>
                <w:szCs w:val="22"/>
                <w:lang w:eastAsia="en-GB"/>
              </w:rPr>
              <w:t>61</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01FFA0F3" w14:textId="0C71CB9C" w:rsidR="00DB545D" w:rsidRPr="001D52A0" w:rsidRDefault="008F289A"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5,4</w:t>
            </w:r>
            <w:r w:rsidR="00FD0AA3" w:rsidRPr="001D52A0">
              <w:rPr>
                <w:rFonts w:asciiTheme="minorHAnsi" w:hAnsiTheme="minorHAnsi" w:cs="Arial"/>
                <w:color w:val="000000"/>
                <w:sz w:val="22"/>
                <w:szCs w:val="22"/>
                <w:lang w:eastAsia="en-GB"/>
              </w:rPr>
              <w:t>45</w:t>
            </w:r>
          </w:p>
        </w:tc>
      </w:tr>
      <w:tr w:rsidR="00DB545D" w:rsidRPr="001D52A0" w14:paraId="2CBCF64E" w14:textId="77777777" w:rsidTr="00D07C7F">
        <w:trPr>
          <w:jc w:val="center"/>
        </w:trPr>
        <w:tc>
          <w:tcPr>
            <w:tcW w:w="3974" w:type="dxa"/>
            <w:tcBorders>
              <w:top w:val="nil"/>
              <w:left w:val="single" w:sz="4" w:space="0" w:color="auto"/>
              <w:bottom w:val="single" w:sz="4" w:space="0" w:color="auto"/>
              <w:right w:val="single" w:sz="4" w:space="0" w:color="auto"/>
            </w:tcBorders>
            <w:shd w:val="clear" w:color="auto" w:fill="auto"/>
            <w:vAlign w:val="center"/>
          </w:tcPr>
          <w:p w14:paraId="6E132A17" w14:textId="77777777" w:rsidR="00DB545D" w:rsidRPr="001D52A0" w:rsidRDefault="00DB545D" w:rsidP="00D07C7F">
            <w:pPr>
              <w:spacing w:line="240" w:lineRule="exac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MRF service income</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7042B142" w14:textId="77777777" w:rsidR="00DB545D" w:rsidRPr="001D52A0" w:rsidRDefault="00DB545D" w:rsidP="00D07C7F">
            <w:pPr>
              <w:spacing w:line="240" w:lineRule="exact"/>
              <w:jc w:val="center"/>
              <w:rPr>
                <w:rFonts w:asciiTheme="minorHAnsi" w:hAnsiTheme="minorHAnsi" w:cs="Arial"/>
                <w:sz w:val="22"/>
                <w:szCs w:val="22"/>
                <w:lang w:eastAsia="en-GB"/>
              </w:rPr>
            </w:pPr>
            <w:r w:rsidRPr="001D52A0">
              <w:rPr>
                <w:rFonts w:asciiTheme="minorHAnsi" w:hAnsiTheme="minorHAnsi" w:cs="Arial"/>
                <w:sz w:val="22"/>
                <w:szCs w:val="22"/>
                <w:lang w:eastAsia="en-GB"/>
              </w:rPr>
              <w:t>2,256</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49972963" w14:textId="77777777" w:rsidR="00DB545D" w:rsidRPr="001D52A0" w:rsidRDefault="008F289A"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3,423</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471B90E8" w14:textId="77777777" w:rsidR="00DB545D" w:rsidRPr="001D52A0" w:rsidRDefault="008F289A"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5,804</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0792FB3D" w14:textId="77777777" w:rsidR="00DB545D" w:rsidRPr="001D52A0" w:rsidRDefault="008F289A"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3,548</w:t>
            </w:r>
          </w:p>
        </w:tc>
      </w:tr>
      <w:tr w:rsidR="00DB545D" w:rsidRPr="001D52A0" w14:paraId="26B07C7E" w14:textId="77777777" w:rsidTr="00D07C7F">
        <w:trPr>
          <w:jc w:val="center"/>
        </w:trPr>
        <w:tc>
          <w:tcPr>
            <w:tcW w:w="3974" w:type="dxa"/>
            <w:tcBorders>
              <w:top w:val="nil"/>
              <w:left w:val="single" w:sz="4" w:space="0" w:color="auto"/>
              <w:bottom w:val="single" w:sz="4" w:space="0" w:color="auto"/>
              <w:right w:val="single" w:sz="4" w:space="0" w:color="auto"/>
            </w:tcBorders>
            <w:shd w:val="clear" w:color="auto" w:fill="auto"/>
            <w:vAlign w:val="center"/>
            <w:hideMark/>
          </w:tcPr>
          <w:p w14:paraId="6841C914" w14:textId="77777777" w:rsidR="00DB545D" w:rsidRPr="001D52A0" w:rsidRDefault="00DB545D" w:rsidP="00D07C7F">
            <w:pPr>
              <w:spacing w:line="240" w:lineRule="exac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Other Income</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3ECBEDB1" w14:textId="77777777" w:rsidR="00DB545D" w:rsidRPr="001D52A0" w:rsidRDefault="00DB545D" w:rsidP="00D07C7F">
            <w:pPr>
              <w:spacing w:line="240" w:lineRule="exact"/>
              <w:jc w:val="center"/>
              <w:rPr>
                <w:rFonts w:asciiTheme="minorHAnsi" w:hAnsiTheme="minorHAnsi" w:cs="Arial"/>
                <w:sz w:val="22"/>
                <w:szCs w:val="22"/>
                <w:lang w:eastAsia="en-GB"/>
              </w:rPr>
            </w:pPr>
            <w:r w:rsidRPr="001D52A0">
              <w:rPr>
                <w:rFonts w:asciiTheme="minorHAnsi" w:hAnsiTheme="minorHAnsi" w:cs="Arial"/>
                <w:sz w:val="22"/>
                <w:szCs w:val="22"/>
                <w:lang w:eastAsia="en-GB"/>
              </w:rPr>
              <w:t>2,582</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306A6895" w14:textId="77777777" w:rsidR="008F289A" w:rsidRPr="001D52A0" w:rsidRDefault="008F289A"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3,217</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7D3AE854" w14:textId="77777777" w:rsidR="00DB545D" w:rsidRPr="001D52A0" w:rsidRDefault="008F289A"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3,595</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57EFD44D" w14:textId="77777777" w:rsidR="00DB545D" w:rsidRPr="001D52A0" w:rsidRDefault="008F289A"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1,013</w:t>
            </w:r>
          </w:p>
        </w:tc>
      </w:tr>
      <w:tr w:rsidR="00DB545D" w:rsidRPr="001D52A0" w14:paraId="28D55631" w14:textId="77777777" w:rsidTr="00D07C7F">
        <w:trPr>
          <w:jc w:val="center"/>
        </w:trPr>
        <w:tc>
          <w:tcPr>
            <w:tcW w:w="3974" w:type="dxa"/>
            <w:tcBorders>
              <w:top w:val="nil"/>
              <w:left w:val="single" w:sz="4" w:space="0" w:color="auto"/>
              <w:bottom w:val="single" w:sz="4" w:space="0" w:color="auto"/>
              <w:right w:val="single" w:sz="4" w:space="0" w:color="auto"/>
            </w:tcBorders>
            <w:shd w:val="clear" w:color="auto" w:fill="auto"/>
            <w:vAlign w:val="center"/>
          </w:tcPr>
          <w:p w14:paraId="5BA4C48A" w14:textId="77777777" w:rsidR="00DB545D" w:rsidRPr="001D52A0" w:rsidRDefault="00DB545D" w:rsidP="00D07C7F">
            <w:pPr>
              <w:spacing w:line="240" w:lineRule="exac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 xml:space="preserve">Programme costs funded by PPP income </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5B14C902" w14:textId="77777777" w:rsidR="00DB545D" w:rsidRPr="001D52A0" w:rsidRDefault="00DB545D" w:rsidP="00D07C7F">
            <w:pPr>
              <w:spacing w:line="240" w:lineRule="exact"/>
              <w:jc w:val="center"/>
              <w:rPr>
                <w:rFonts w:asciiTheme="minorHAnsi" w:hAnsiTheme="minorHAnsi" w:cs="Arial"/>
                <w:sz w:val="22"/>
                <w:szCs w:val="22"/>
                <w:lang w:eastAsia="en-GB"/>
              </w:rPr>
            </w:pPr>
            <w:r w:rsidRPr="001D52A0">
              <w:rPr>
                <w:rFonts w:asciiTheme="minorHAnsi" w:hAnsiTheme="minorHAnsi" w:cs="Arial"/>
                <w:sz w:val="22"/>
                <w:szCs w:val="22"/>
                <w:lang w:eastAsia="en-GB"/>
              </w:rPr>
              <w:t>1,120</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47703AA0" w14:textId="77777777" w:rsidR="00DB545D" w:rsidRPr="001D52A0" w:rsidRDefault="008F289A"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1,120</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3785F15B" w14:textId="77777777" w:rsidR="00DB545D" w:rsidRPr="001D52A0" w:rsidRDefault="008F289A"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1,247</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2888F2BF" w14:textId="77777777" w:rsidR="00DB545D" w:rsidRPr="001D52A0" w:rsidRDefault="008F289A" w:rsidP="00D07C7F">
            <w:pPr>
              <w:spacing w:line="240" w:lineRule="exact"/>
              <w:jc w:val="cente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127</w:t>
            </w:r>
          </w:p>
        </w:tc>
      </w:tr>
      <w:tr w:rsidR="00DB545D" w:rsidRPr="001D52A0" w14:paraId="26503E09" w14:textId="77777777" w:rsidTr="00D07C7F">
        <w:trPr>
          <w:jc w:val="center"/>
        </w:trPr>
        <w:tc>
          <w:tcPr>
            <w:tcW w:w="3974" w:type="dxa"/>
            <w:tcBorders>
              <w:top w:val="nil"/>
              <w:left w:val="single" w:sz="4" w:space="0" w:color="auto"/>
              <w:bottom w:val="single" w:sz="4" w:space="0" w:color="auto"/>
              <w:right w:val="single" w:sz="4" w:space="0" w:color="auto"/>
            </w:tcBorders>
            <w:shd w:val="clear" w:color="auto" w:fill="auto"/>
            <w:vAlign w:val="center"/>
            <w:hideMark/>
          </w:tcPr>
          <w:p w14:paraId="1B58503F" w14:textId="77777777" w:rsidR="00DB545D" w:rsidRPr="001D52A0" w:rsidRDefault="00DB545D" w:rsidP="00D07C7F">
            <w:pPr>
              <w:spacing w:line="240" w:lineRule="exact"/>
              <w:rPr>
                <w:rFonts w:asciiTheme="minorHAnsi" w:hAnsiTheme="minorHAnsi" w:cs="Arial"/>
                <w:b/>
                <w:bCs/>
                <w:color w:val="000000"/>
                <w:sz w:val="22"/>
                <w:szCs w:val="22"/>
                <w:lang w:eastAsia="en-GB"/>
              </w:rPr>
            </w:pPr>
            <w:r w:rsidRPr="001D52A0">
              <w:rPr>
                <w:rFonts w:asciiTheme="minorHAnsi" w:hAnsiTheme="minorHAnsi" w:cs="Arial"/>
                <w:b/>
                <w:bCs/>
                <w:color w:val="000000"/>
                <w:sz w:val="22"/>
                <w:szCs w:val="22"/>
                <w:lang w:eastAsia="en-GB"/>
              </w:rPr>
              <w:t>Total income</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260B4E70" w14:textId="77777777" w:rsidR="00DB545D" w:rsidRPr="001D52A0" w:rsidRDefault="00DB545D" w:rsidP="00D07C7F">
            <w:pPr>
              <w:spacing w:line="240" w:lineRule="exact"/>
              <w:jc w:val="center"/>
              <w:rPr>
                <w:rFonts w:asciiTheme="minorHAnsi" w:hAnsiTheme="minorHAnsi" w:cs="Arial"/>
                <w:b/>
                <w:bCs/>
                <w:color w:val="000000"/>
                <w:sz w:val="22"/>
                <w:szCs w:val="22"/>
                <w:lang w:eastAsia="en-GB"/>
              </w:rPr>
            </w:pPr>
            <w:r w:rsidRPr="001D52A0">
              <w:rPr>
                <w:rFonts w:asciiTheme="minorHAnsi" w:hAnsiTheme="minorHAnsi" w:cs="Arial"/>
                <w:b/>
                <w:bCs/>
                <w:color w:val="000000"/>
                <w:sz w:val="22"/>
                <w:szCs w:val="22"/>
                <w:lang w:eastAsia="en-GB"/>
              </w:rPr>
              <w:t>73,074</w:t>
            </w:r>
          </w:p>
        </w:tc>
        <w:tc>
          <w:tcPr>
            <w:tcW w:w="1361" w:type="dxa"/>
            <w:tcBorders>
              <w:top w:val="nil"/>
              <w:left w:val="single" w:sz="4" w:space="0" w:color="auto"/>
              <w:bottom w:val="single" w:sz="4" w:space="0" w:color="auto"/>
              <w:right w:val="single" w:sz="4" w:space="0" w:color="auto"/>
            </w:tcBorders>
            <w:shd w:val="clear" w:color="auto" w:fill="FFFFFF" w:themeFill="background1"/>
            <w:vAlign w:val="center"/>
          </w:tcPr>
          <w:p w14:paraId="1ACCF874" w14:textId="77777777" w:rsidR="00DB545D" w:rsidRPr="001D52A0" w:rsidRDefault="008F289A" w:rsidP="00D07C7F">
            <w:pPr>
              <w:spacing w:line="240" w:lineRule="exact"/>
              <w:jc w:val="center"/>
              <w:rPr>
                <w:rFonts w:asciiTheme="minorHAnsi" w:hAnsiTheme="minorHAnsi" w:cs="Arial"/>
                <w:b/>
                <w:color w:val="000000"/>
                <w:sz w:val="22"/>
                <w:szCs w:val="22"/>
                <w:lang w:eastAsia="en-GB"/>
              </w:rPr>
            </w:pPr>
            <w:r w:rsidRPr="001D52A0">
              <w:rPr>
                <w:rFonts w:asciiTheme="minorHAnsi" w:hAnsiTheme="minorHAnsi" w:cs="Arial"/>
                <w:b/>
                <w:color w:val="000000"/>
                <w:sz w:val="22"/>
                <w:szCs w:val="22"/>
                <w:lang w:eastAsia="en-GB"/>
              </w:rPr>
              <w:t>75,125</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446444D8" w14:textId="128D85C0" w:rsidR="00DB545D" w:rsidRPr="001D52A0" w:rsidRDefault="00BF4D72" w:rsidP="00D07C7F">
            <w:pPr>
              <w:spacing w:line="240" w:lineRule="exact"/>
              <w:jc w:val="center"/>
              <w:rPr>
                <w:rFonts w:asciiTheme="minorHAnsi" w:hAnsiTheme="minorHAnsi" w:cs="Arial"/>
                <w:b/>
                <w:color w:val="000000"/>
                <w:sz w:val="22"/>
                <w:szCs w:val="22"/>
                <w:lang w:eastAsia="en-GB"/>
              </w:rPr>
            </w:pPr>
            <w:r w:rsidRPr="001D52A0">
              <w:rPr>
                <w:rFonts w:asciiTheme="minorHAnsi" w:hAnsiTheme="minorHAnsi" w:cs="Arial"/>
                <w:b/>
                <w:color w:val="000000"/>
                <w:sz w:val="22"/>
                <w:szCs w:val="22"/>
                <w:lang w:eastAsia="en-GB"/>
              </w:rPr>
              <w:t>83,2</w:t>
            </w:r>
            <w:r w:rsidR="00FD0AA3" w:rsidRPr="001D52A0">
              <w:rPr>
                <w:rFonts w:asciiTheme="minorHAnsi" w:hAnsiTheme="minorHAnsi" w:cs="Arial"/>
                <w:b/>
                <w:color w:val="000000"/>
                <w:sz w:val="22"/>
                <w:szCs w:val="22"/>
                <w:lang w:eastAsia="en-GB"/>
              </w:rPr>
              <w:t>0</w:t>
            </w:r>
            <w:r w:rsidR="008F289A" w:rsidRPr="001D52A0">
              <w:rPr>
                <w:rFonts w:asciiTheme="minorHAnsi" w:hAnsiTheme="minorHAnsi" w:cs="Arial"/>
                <w:b/>
                <w:color w:val="000000"/>
                <w:sz w:val="22"/>
                <w:szCs w:val="22"/>
                <w:lang w:eastAsia="en-GB"/>
              </w:rPr>
              <w:t>7</w:t>
            </w:r>
          </w:p>
        </w:tc>
        <w:tc>
          <w:tcPr>
            <w:tcW w:w="1361" w:type="dxa"/>
            <w:tcBorders>
              <w:top w:val="nil"/>
              <w:left w:val="nil"/>
              <w:bottom w:val="single" w:sz="4" w:space="0" w:color="auto"/>
              <w:right w:val="single" w:sz="4" w:space="0" w:color="auto"/>
            </w:tcBorders>
            <w:shd w:val="clear" w:color="auto" w:fill="FFFFFF" w:themeFill="background1"/>
            <w:noWrap/>
            <w:vAlign w:val="center"/>
          </w:tcPr>
          <w:p w14:paraId="55B1EFFA" w14:textId="5F7FE784" w:rsidR="00DB545D" w:rsidRPr="001D52A0" w:rsidRDefault="00BF4D72" w:rsidP="00D07C7F">
            <w:pPr>
              <w:spacing w:line="240" w:lineRule="exact"/>
              <w:jc w:val="center"/>
              <w:rPr>
                <w:rFonts w:asciiTheme="minorHAnsi" w:hAnsiTheme="minorHAnsi" w:cs="Arial"/>
                <w:b/>
                <w:color w:val="000000"/>
                <w:sz w:val="22"/>
                <w:szCs w:val="22"/>
                <w:lang w:eastAsia="en-GB"/>
              </w:rPr>
            </w:pPr>
            <w:r w:rsidRPr="001D52A0">
              <w:rPr>
                <w:rFonts w:asciiTheme="minorHAnsi" w:hAnsiTheme="minorHAnsi" w:cs="Arial"/>
                <w:b/>
                <w:color w:val="000000"/>
                <w:sz w:val="22"/>
                <w:szCs w:val="22"/>
                <w:lang w:eastAsia="en-GB"/>
              </w:rPr>
              <w:t>10,1</w:t>
            </w:r>
            <w:r w:rsidR="00FD0AA3" w:rsidRPr="001D52A0">
              <w:rPr>
                <w:rFonts w:asciiTheme="minorHAnsi" w:hAnsiTheme="minorHAnsi" w:cs="Arial"/>
                <w:b/>
                <w:color w:val="000000"/>
                <w:sz w:val="22"/>
                <w:szCs w:val="22"/>
                <w:lang w:eastAsia="en-GB"/>
              </w:rPr>
              <w:t>33</w:t>
            </w:r>
          </w:p>
        </w:tc>
      </w:tr>
      <w:tr w:rsidR="00DB545D" w:rsidRPr="001D52A0" w14:paraId="79415A51" w14:textId="77777777" w:rsidTr="00D07C7F">
        <w:trPr>
          <w:jc w:val="center"/>
        </w:trPr>
        <w:tc>
          <w:tcPr>
            <w:tcW w:w="3974" w:type="dxa"/>
            <w:tcBorders>
              <w:top w:val="single" w:sz="4" w:space="0" w:color="auto"/>
              <w:bottom w:val="single" w:sz="4" w:space="0" w:color="auto"/>
            </w:tcBorders>
            <w:shd w:val="clear" w:color="auto" w:fill="auto"/>
            <w:vAlign w:val="center"/>
            <w:hideMark/>
          </w:tcPr>
          <w:p w14:paraId="6F68AE8B" w14:textId="77777777" w:rsidR="00DB545D" w:rsidRPr="001D52A0" w:rsidRDefault="00DB545D" w:rsidP="00D07C7F">
            <w:pPr>
              <w:spacing w:line="240" w:lineRule="exac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 </w:t>
            </w:r>
          </w:p>
        </w:tc>
        <w:tc>
          <w:tcPr>
            <w:tcW w:w="1361" w:type="dxa"/>
            <w:tcBorders>
              <w:top w:val="nil"/>
              <w:bottom w:val="single" w:sz="4" w:space="0" w:color="auto"/>
            </w:tcBorders>
            <w:shd w:val="clear" w:color="auto" w:fill="FFFFFF" w:themeFill="background1"/>
            <w:vAlign w:val="center"/>
          </w:tcPr>
          <w:p w14:paraId="1DFCEB15" w14:textId="77777777" w:rsidR="00DB545D" w:rsidRPr="001D52A0" w:rsidRDefault="00DB545D" w:rsidP="00D07C7F">
            <w:pPr>
              <w:spacing w:line="240" w:lineRule="exact"/>
              <w:jc w:val="center"/>
              <w:rPr>
                <w:rFonts w:asciiTheme="minorHAnsi" w:hAnsiTheme="minorHAnsi" w:cs="Arial"/>
                <w:sz w:val="22"/>
                <w:szCs w:val="22"/>
                <w:lang w:eastAsia="en-GB"/>
              </w:rPr>
            </w:pPr>
          </w:p>
        </w:tc>
        <w:tc>
          <w:tcPr>
            <w:tcW w:w="1361" w:type="dxa"/>
            <w:tcBorders>
              <w:top w:val="nil"/>
              <w:bottom w:val="single" w:sz="4" w:space="0" w:color="auto"/>
            </w:tcBorders>
            <w:shd w:val="clear" w:color="auto" w:fill="FFFFFF" w:themeFill="background1"/>
            <w:vAlign w:val="center"/>
          </w:tcPr>
          <w:p w14:paraId="0AD33D5A" w14:textId="77777777" w:rsidR="00DB545D" w:rsidRPr="001D52A0" w:rsidRDefault="00DB545D" w:rsidP="00D07C7F">
            <w:pPr>
              <w:spacing w:line="240" w:lineRule="exact"/>
              <w:jc w:val="center"/>
              <w:rPr>
                <w:rFonts w:asciiTheme="minorHAnsi" w:hAnsiTheme="minorHAnsi" w:cs="Arial"/>
                <w:color w:val="000000"/>
                <w:sz w:val="22"/>
                <w:szCs w:val="22"/>
                <w:lang w:eastAsia="en-GB"/>
              </w:rPr>
            </w:pPr>
          </w:p>
        </w:tc>
        <w:tc>
          <w:tcPr>
            <w:tcW w:w="1361" w:type="dxa"/>
            <w:tcBorders>
              <w:top w:val="nil"/>
              <w:left w:val="nil"/>
              <w:bottom w:val="single" w:sz="4" w:space="0" w:color="auto"/>
              <w:right w:val="nil"/>
            </w:tcBorders>
            <w:shd w:val="clear" w:color="auto" w:fill="FFFFFF" w:themeFill="background1"/>
            <w:noWrap/>
            <w:vAlign w:val="center"/>
          </w:tcPr>
          <w:p w14:paraId="64E56C6D" w14:textId="77777777" w:rsidR="00DB545D" w:rsidRPr="001D52A0" w:rsidRDefault="00DB545D" w:rsidP="00D07C7F">
            <w:pPr>
              <w:spacing w:line="240" w:lineRule="exact"/>
              <w:jc w:val="center"/>
              <w:rPr>
                <w:rFonts w:asciiTheme="minorHAnsi" w:hAnsiTheme="minorHAnsi" w:cs="Arial"/>
                <w:color w:val="000000"/>
                <w:sz w:val="22"/>
                <w:szCs w:val="22"/>
                <w:lang w:eastAsia="en-GB"/>
              </w:rPr>
            </w:pPr>
          </w:p>
        </w:tc>
        <w:tc>
          <w:tcPr>
            <w:tcW w:w="1361" w:type="dxa"/>
            <w:tcBorders>
              <w:top w:val="single" w:sz="4" w:space="0" w:color="auto"/>
              <w:left w:val="nil"/>
              <w:bottom w:val="single" w:sz="4" w:space="0" w:color="auto"/>
            </w:tcBorders>
            <w:shd w:val="clear" w:color="auto" w:fill="FFFFFF" w:themeFill="background1"/>
            <w:noWrap/>
            <w:vAlign w:val="center"/>
          </w:tcPr>
          <w:p w14:paraId="507D7D6B" w14:textId="77777777" w:rsidR="00DB545D" w:rsidRPr="001D52A0" w:rsidRDefault="00DB545D" w:rsidP="00D07C7F">
            <w:pPr>
              <w:spacing w:line="240" w:lineRule="exact"/>
              <w:jc w:val="center"/>
              <w:rPr>
                <w:rFonts w:asciiTheme="minorHAnsi" w:hAnsiTheme="minorHAnsi" w:cs="Arial"/>
                <w:color w:val="000000"/>
                <w:sz w:val="22"/>
                <w:szCs w:val="22"/>
                <w:lang w:eastAsia="en-GB"/>
              </w:rPr>
            </w:pPr>
          </w:p>
        </w:tc>
      </w:tr>
      <w:tr w:rsidR="00DB545D" w:rsidRPr="001D52A0" w14:paraId="35B48282" w14:textId="77777777" w:rsidTr="00D07C7F">
        <w:trPr>
          <w:jc w:val="center"/>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2DD92" w14:textId="77777777" w:rsidR="00DB545D" w:rsidRPr="001D52A0" w:rsidRDefault="00DB545D" w:rsidP="00D07C7F">
            <w:pPr>
              <w:spacing w:line="240" w:lineRule="exact"/>
              <w:rPr>
                <w:rFonts w:asciiTheme="minorHAnsi" w:hAnsiTheme="minorHAnsi" w:cs="Arial"/>
                <w:b/>
                <w:bCs/>
                <w:color w:val="000000"/>
                <w:sz w:val="22"/>
                <w:szCs w:val="22"/>
                <w:lang w:eastAsia="en-GB"/>
              </w:rPr>
            </w:pPr>
            <w:r w:rsidRPr="001D52A0">
              <w:rPr>
                <w:rFonts w:asciiTheme="minorHAnsi" w:hAnsiTheme="minorHAnsi" w:cs="Arial"/>
                <w:b/>
                <w:bCs/>
                <w:color w:val="000000"/>
                <w:sz w:val="22"/>
                <w:szCs w:val="22"/>
                <w:lang w:eastAsia="en-GB"/>
              </w:rPr>
              <w:t>Total (surplus)/deficit</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B0587" w14:textId="77777777" w:rsidR="00DB545D" w:rsidRPr="001D52A0" w:rsidRDefault="00DB545D" w:rsidP="00D07C7F">
            <w:pPr>
              <w:spacing w:line="240" w:lineRule="exact"/>
              <w:jc w:val="center"/>
              <w:rPr>
                <w:rFonts w:asciiTheme="minorHAnsi" w:hAnsiTheme="minorHAnsi" w:cs="Arial"/>
                <w:b/>
                <w:bCs/>
                <w:color w:val="000000"/>
                <w:sz w:val="22"/>
                <w:szCs w:val="22"/>
                <w:lang w:eastAsia="en-GB"/>
              </w:rPr>
            </w:pPr>
            <w:r w:rsidRPr="001D52A0">
              <w:rPr>
                <w:rFonts w:asciiTheme="minorHAnsi" w:hAnsiTheme="minorHAnsi" w:cs="Arial"/>
                <w:b/>
                <w:bCs/>
                <w:color w:val="000000"/>
                <w:sz w:val="22"/>
                <w:szCs w:val="22"/>
                <w:lang w:eastAsia="en-GB"/>
              </w:rPr>
              <w:t>0</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FDD91" w14:textId="77777777" w:rsidR="00DB545D" w:rsidRPr="001D52A0" w:rsidRDefault="008F289A" w:rsidP="00D07C7F">
            <w:pPr>
              <w:spacing w:line="240" w:lineRule="exact"/>
              <w:jc w:val="center"/>
              <w:rPr>
                <w:rFonts w:asciiTheme="minorHAnsi" w:hAnsiTheme="minorHAnsi" w:cs="Arial"/>
                <w:b/>
                <w:color w:val="000000"/>
                <w:sz w:val="22"/>
                <w:szCs w:val="22"/>
                <w:lang w:eastAsia="en-GB"/>
              </w:rPr>
            </w:pPr>
            <w:r w:rsidRPr="001D52A0">
              <w:rPr>
                <w:rFonts w:asciiTheme="minorHAnsi" w:hAnsiTheme="minorHAnsi" w:cs="Arial"/>
                <w:b/>
                <w:color w:val="000000"/>
                <w:sz w:val="22"/>
                <w:szCs w:val="22"/>
                <w:lang w:eastAsia="en-GB"/>
              </w:rPr>
              <w:t>2,026</w:t>
            </w:r>
          </w:p>
        </w:tc>
        <w:tc>
          <w:tcPr>
            <w:tcW w:w="1361" w:type="dxa"/>
            <w:tcBorders>
              <w:top w:val="single" w:sz="4" w:space="0" w:color="auto"/>
              <w:left w:val="nil"/>
              <w:bottom w:val="single" w:sz="4" w:space="0" w:color="auto"/>
              <w:right w:val="single" w:sz="4" w:space="0" w:color="auto"/>
            </w:tcBorders>
            <w:shd w:val="clear" w:color="auto" w:fill="FFFFFF" w:themeFill="background1"/>
            <w:vAlign w:val="center"/>
          </w:tcPr>
          <w:p w14:paraId="40A3CF21" w14:textId="77777777" w:rsidR="00DB545D" w:rsidRPr="001D52A0" w:rsidRDefault="00DB545D" w:rsidP="00D07C7F">
            <w:pPr>
              <w:spacing w:line="240" w:lineRule="exact"/>
              <w:jc w:val="center"/>
              <w:rPr>
                <w:rFonts w:asciiTheme="minorHAnsi" w:hAnsiTheme="minorHAnsi" w:cs="Arial"/>
                <w:b/>
                <w:color w:val="000000"/>
                <w:sz w:val="22"/>
                <w:szCs w:val="22"/>
                <w:lang w:eastAsia="en-GB"/>
              </w:rPr>
            </w:pPr>
          </w:p>
        </w:tc>
        <w:tc>
          <w:tcPr>
            <w:tcW w:w="1361" w:type="dxa"/>
            <w:tcBorders>
              <w:top w:val="single" w:sz="4" w:space="0" w:color="auto"/>
              <w:left w:val="nil"/>
              <w:bottom w:val="single" w:sz="4" w:space="0" w:color="auto"/>
              <w:right w:val="single" w:sz="4" w:space="0" w:color="auto"/>
            </w:tcBorders>
            <w:shd w:val="clear" w:color="auto" w:fill="FFFFFF" w:themeFill="background1"/>
            <w:vAlign w:val="center"/>
          </w:tcPr>
          <w:p w14:paraId="674DFB74" w14:textId="77777777" w:rsidR="00DB545D" w:rsidRPr="001D52A0" w:rsidRDefault="008F289A" w:rsidP="00D07C7F">
            <w:pPr>
              <w:spacing w:line="240" w:lineRule="exact"/>
              <w:jc w:val="center"/>
              <w:rPr>
                <w:rFonts w:asciiTheme="minorHAnsi" w:hAnsiTheme="minorHAnsi" w:cs="Arial"/>
                <w:b/>
                <w:color w:val="000000"/>
                <w:sz w:val="22"/>
                <w:szCs w:val="22"/>
                <w:lang w:eastAsia="en-GB"/>
              </w:rPr>
            </w:pPr>
            <w:r w:rsidRPr="001D52A0">
              <w:rPr>
                <w:rFonts w:asciiTheme="minorHAnsi" w:hAnsiTheme="minorHAnsi" w:cs="Arial"/>
                <w:b/>
                <w:color w:val="000000"/>
                <w:sz w:val="22"/>
                <w:szCs w:val="22"/>
                <w:lang w:eastAsia="en-GB"/>
              </w:rPr>
              <w:t>0</w:t>
            </w:r>
          </w:p>
        </w:tc>
      </w:tr>
      <w:tr w:rsidR="00DB545D" w:rsidRPr="001D52A0" w14:paraId="11381B43" w14:textId="77777777" w:rsidTr="00D07C7F">
        <w:trPr>
          <w:jc w:val="center"/>
        </w:trPr>
        <w:tc>
          <w:tcPr>
            <w:tcW w:w="3974" w:type="dxa"/>
            <w:tcBorders>
              <w:top w:val="single" w:sz="4" w:space="0" w:color="auto"/>
              <w:bottom w:val="single" w:sz="4" w:space="0" w:color="auto"/>
            </w:tcBorders>
            <w:shd w:val="clear" w:color="auto" w:fill="auto"/>
            <w:vAlign w:val="center"/>
            <w:hideMark/>
          </w:tcPr>
          <w:p w14:paraId="68FF883F" w14:textId="77777777" w:rsidR="00DB545D" w:rsidRPr="001D52A0" w:rsidRDefault="00DB545D" w:rsidP="00D07C7F">
            <w:pPr>
              <w:spacing w:line="240" w:lineRule="exac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 </w:t>
            </w:r>
          </w:p>
        </w:tc>
        <w:tc>
          <w:tcPr>
            <w:tcW w:w="1361" w:type="dxa"/>
            <w:tcBorders>
              <w:top w:val="nil"/>
              <w:bottom w:val="single" w:sz="4" w:space="0" w:color="auto"/>
            </w:tcBorders>
            <w:shd w:val="clear" w:color="auto" w:fill="FFFFFF" w:themeFill="background1"/>
            <w:vAlign w:val="center"/>
          </w:tcPr>
          <w:p w14:paraId="2E1ABC9E" w14:textId="77777777" w:rsidR="00DB545D" w:rsidRPr="001D52A0" w:rsidRDefault="00DB545D" w:rsidP="00D07C7F">
            <w:pPr>
              <w:spacing w:line="240" w:lineRule="exact"/>
              <w:jc w:val="center"/>
              <w:rPr>
                <w:rFonts w:asciiTheme="minorHAnsi" w:hAnsiTheme="minorHAnsi" w:cs="Arial"/>
                <w:sz w:val="22"/>
                <w:szCs w:val="22"/>
                <w:lang w:eastAsia="en-GB"/>
              </w:rPr>
            </w:pPr>
          </w:p>
        </w:tc>
        <w:tc>
          <w:tcPr>
            <w:tcW w:w="1361" w:type="dxa"/>
            <w:tcBorders>
              <w:top w:val="nil"/>
              <w:bottom w:val="single" w:sz="4" w:space="0" w:color="auto"/>
            </w:tcBorders>
            <w:shd w:val="clear" w:color="auto" w:fill="FFFFFF" w:themeFill="background1"/>
            <w:vAlign w:val="center"/>
          </w:tcPr>
          <w:p w14:paraId="52C2CA2C" w14:textId="77777777" w:rsidR="00DB545D" w:rsidRPr="001D52A0" w:rsidRDefault="00DB545D" w:rsidP="00D07C7F">
            <w:pPr>
              <w:spacing w:line="240" w:lineRule="exact"/>
              <w:jc w:val="center"/>
              <w:rPr>
                <w:rFonts w:asciiTheme="minorHAnsi" w:hAnsiTheme="minorHAnsi" w:cs="Arial"/>
                <w:b/>
                <w:color w:val="000000"/>
                <w:sz w:val="22"/>
                <w:szCs w:val="22"/>
                <w:lang w:eastAsia="en-GB"/>
              </w:rPr>
            </w:pPr>
          </w:p>
        </w:tc>
        <w:tc>
          <w:tcPr>
            <w:tcW w:w="1361" w:type="dxa"/>
            <w:tcBorders>
              <w:top w:val="nil"/>
              <w:left w:val="nil"/>
              <w:bottom w:val="single" w:sz="4" w:space="0" w:color="auto"/>
              <w:right w:val="nil"/>
            </w:tcBorders>
            <w:shd w:val="clear" w:color="auto" w:fill="FFFFFF" w:themeFill="background1"/>
            <w:noWrap/>
            <w:vAlign w:val="center"/>
          </w:tcPr>
          <w:p w14:paraId="15D2CC7C" w14:textId="77777777" w:rsidR="00DB545D" w:rsidRPr="001D52A0" w:rsidRDefault="00DB545D" w:rsidP="00D07C7F">
            <w:pPr>
              <w:spacing w:line="240" w:lineRule="exact"/>
              <w:jc w:val="center"/>
              <w:rPr>
                <w:rFonts w:asciiTheme="minorHAnsi" w:hAnsiTheme="minorHAnsi" w:cs="Arial"/>
                <w:b/>
                <w:color w:val="000000"/>
                <w:sz w:val="22"/>
                <w:szCs w:val="22"/>
                <w:lang w:eastAsia="en-GB"/>
              </w:rPr>
            </w:pPr>
          </w:p>
        </w:tc>
        <w:tc>
          <w:tcPr>
            <w:tcW w:w="1361" w:type="dxa"/>
            <w:tcBorders>
              <w:top w:val="single" w:sz="4" w:space="0" w:color="auto"/>
              <w:left w:val="nil"/>
              <w:bottom w:val="single" w:sz="4" w:space="0" w:color="auto"/>
            </w:tcBorders>
            <w:shd w:val="clear" w:color="auto" w:fill="FFFFFF" w:themeFill="background1"/>
            <w:noWrap/>
            <w:vAlign w:val="center"/>
          </w:tcPr>
          <w:p w14:paraId="52FB63FF" w14:textId="77777777" w:rsidR="00DB545D" w:rsidRPr="001D52A0" w:rsidRDefault="00DB545D" w:rsidP="00D07C7F">
            <w:pPr>
              <w:spacing w:line="240" w:lineRule="exact"/>
              <w:jc w:val="center"/>
              <w:rPr>
                <w:rFonts w:asciiTheme="minorHAnsi" w:hAnsiTheme="minorHAnsi" w:cs="Arial"/>
                <w:b/>
                <w:color w:val="000000"/>
                <w:sz w:val="22"/>
                <w:szCs w:val="22"/>
                <w:lang w:eastAsia="en-GB"/>
              </w:rPr>
            </w:pPr>
          </w:p>
        </w:tc>
      </w:tr>
      <w:tr w:rsidR="00DB545D" w:rsidRPr="001D52A0" w14:paraId="68270BEF" w14:textId="77777777" w:rsidTr="00D07C7F">
        <w:trPr>
          <w:jc w:val="center"/>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A82DA" w14:textId="77777777" w:rsidR="00DB545D" w:rsidRPr="001D52A0" w:rsidRDefault="00DB545D" w:rsidP="00D07C7F">
            <w:pPr>
              <w:spacing w:line="240" w:lineRule="exact"/>
              <w:rPr>
                <w:rFonts w:asciiTheme="minorHAnsi" w:hAnsiTheme="minorHAnsi" w:cs="Arial"/>
                <w:b/>
                <w:bCs/>
                <w:color w:val="000000"/>
                <w:sz w:val="22"/>
                <w:szCs w:val="22"/>
                <w:lang w:eastAsia="en-GB"/>
              </w:rPr>
            </w:pPr>
            <w:r w:rsidRPr="001D52A0">
              <w:rPr>
                <w:rFonts w:asciiTheme="minorHAnsi" w:hAnsiTheme="minorHAnsi" w:cs="Arial"/>
                <w:b/>
                <w:bCs/>
                <w:color w:val="000000"/>
                <w:sz w:val="22"/>
                <w:szCs w:val="22"/>
                <w:lang w:eastAsia="en-GB"/>
              </w:rPr>
              <w:t>PPP income disbursed to boroughs</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FAB0CC" w14:textId="0DA10CC0" w:rsidR="00DB545D" w:rsidRPr="001D52A0" w:rsidRDefault="004F460B" w:rsidP="00D07C7F">
            <w:pPr>
              <w:spacing w:line="240" w:lineRule="exact"/>
              <w:jc w:val="center"/>
              <w:rPr>
                <w:rFonts w:asciiTheme="minorHAnsi" w:hAnsiTheme="minorHAnsi" w:cs="Arial"/>
                <w:b/>
                <w:bCs/>
                <w:color w:val="000000"/>
                <w:sz w:val="22"/>
                <w:szCs w:val="22"/>
                <w:lang w:eastAsia="en-GB"/>
              </w:rPr>
            </w:pPr>
            <w:r w:rsidRPr="001D52A0">
              <w:rPr>
                <w:rFonts w:asciiTheme="minorHAnsi" w:hAnsiTheme="minorHAnsi" w:cs="Arial"/>
                <w:b/>
                <w:bCs/>
                <w:color w:val="000000"/>
                <w:sz w:val="22"/>
                <w:szCs w:val="22"/>
                <w:lang w:eastAsia="en-GB"/>
              </w:rPr>
              <w:t>6,300</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D6684" w14:textId="77777777" w:rsidR="00DB545D" w:rsidRPr="001D52A0" w:rsidRDefault="008F289A" w:rsidP="00D07C7F">
            <w:pPr>
              <w:spacing w:line="240" w:lineRule="exact"/>
              <w:jc w:val="center"/>
              <w:rPr>
                <w:rFonts w:asciiTheme="minorHAnsi" w:hAnsiTheme="minorHAnsi" w:cs="Arial"/>
                <w:b/>
                <w:color w:val="000000"/>
                <w:sz w:val="22"/>
                <w:szCs w:val="22"/>
                <w:lang w:eastAsia="en-GB"/>
              </w:rPr>
            </w:pPr>
            <w:r w:rsidRPr="001D52A0">
              <w:rPr>
                <w:rFonts w:asciiTheme="minorHAnsi" w:hAnsiTheme="minorHAnsi" w:cs="Arial"/>
                <w:b/>
                <w:color w:val="000000"/>
                <w:sz w:val="22"/>
                <w:szCs w:val="22"/>
                <w:lang w:eastAsia="en-GB"/>
              </w:rPr>
              <w:t>12,729</w:t>
            </w:r>
          </w:p>
        </w:tc>
        <w:tc>
          <w:tcPr>
            <w:tcW w:w="1361" w:type="dxa"/>
            <w:tcBorders>
              <w:top w:val="single" w:sz="4" w:space="0" w:color="auto"/>
              <w:left w:val="nil"/>
              <w:bottom w:val="single" w:sz="4" w:space="0" w:color="auto"/>
              <w:right w:val="single" w:sz="4" w:space="0" w:color="auto"/>
            </w:tcBorders>
            <w:shd w:val="clear" w:color="auto" w:fill="FFFFFF" w:themeFill="background1"/>
            <w:vAlign w:val="center"/>
          </w:tcPr>
          <w:p w14:paraId="2C3298B7" w14:textId="0324BD27" w:rsidR="00BF4D72" w:rsidRPr="001D52A0" w:rsidRDefault="00BF4D72" w:rsidP="00D07C7F">
            <w:pPr>
              <w:spacing w:line="240" w:lineRule="exact"/>
              <w:jc w:val="center"/>
              <w:rPr>
                <w:rFonts w:asciiTheme="minorHAnsi" w:hAnsiTheme="minorHAnsi" w:cs="Arial"/>
                <w:b/>
                <w:color w:val="000000"/>
                <w:sz w:val="22"/>
                <w:szCs w:val="22"/>
                <w:lang w:eastAsia="en-GB"/>
              </w:rPr>
            </w:pPr>
            <w:r w:rsidRPr="001D52A0">
              <w:rPr>
                <w:rFonts w:asciiTheme="minorHAnsi" w:hAnsiTheme="minorHAnsi" w:cs="Arial"/>
                <w:b/>
                <w:color w:val="000000"/>
                <w:sz w:val="22"/>
                <w:szCs w:val="22"/>
                <w:lang w:eastAsia="en-GB"/>
              </w:rPr>
              <w:t>4,200</w:t>
            </w:r>
          </w:p>
        </w:tc>
        <w:tc>
          <w:tcPr>
            <w:tcW w:w="1361" w:type="dxa"/>
            <w:tcBorders>
              <w:top w:val="single" w:sz="4" w:space="0" w:color="auto"/>
              <w:left w:val="nil"/>
              <w:bottom w:val="single" w:sz="4" w:space="0" w:color="auto"/>
              <w:right w:val="single" w:sz="4" w:space="0" w:color="auto"/>
            </w:tcBorders>
            <w:shd w:val="clear" w:color="auto" w:fill="FFFFFF" w:themeFill="background1"/>
            <w:vAlign w:val="center"/>
          </w:tcPr>
          <w:p w14:paraId="2C197840" w14:textId="52EB1971" w:rsidR="00DB545D" w:rsidRPr="001D52A0" w:rsidRDefault="004F460B" w:rsidP="00D07C7F">
            <w:pPr>
              <w:spacing w:line="240" w:lineRule="exact"/>
              <w:jc w:val="center"/>
              <w:rPr>
                <w:rFonts w:asciiTheme="minorHAnsi" w:hAnsiTheme="minorHAnsi" w:cs="Arial"/>
                <w:b/>
                <w:color w:val="000000"/>
                <w:sz w:val="22"/>
                <w:szCs w:val="22"/>
                <w:lang w:eastAsia="en-GB"/>
              </w:rPr>
            </w:pPr>
            <w:r w:rsidRPr="001D52A0">
              <w:rPr>
                <w:rFonts w:asciiTheme="minorHAnsi" w:hAnsiTheme="minorHAnsi" w:cs="Arial"/>
                <w:b/>
                <w:color w:val="000000"/>
                <w:sz w:val="22"/>
                <w:szCs w:val="22"/>
                <w:lang w:eastAsia="en-GB"/>
              </w:rPr>
              <w:t>(2,100)</w:t>
            </w:r>
          </w:p>
        </w:tc>
      </w:tr>
    </w:tbl>
    <w:p w14:paraId="69320EF6" w14:textId="44ED40F9" w:rsidR="00857806" w:rsidRDefault="0070745D" w:rsidP="0030376E">
      <w:pPr>
        <w:pStyle w:val="ListParagraph"/>
        <w:numPr>
          <w:ilvl w:val="1"/>
          <w:numId w:val="41"/>
        </w:numPr>
        <w:autoSpaceDE w:val="0"/>
        <w:autoSpaceDN w:val="0"/>
        <w:adjustRightInd w:val="0"/>
        <w:spacing w:before="240" w:after="120" w:line="240" w:lineRule="auto"/>
        <w:jc w:val="both"/>
        <w:rPr>
          <w:rFonts w:asciiTheme="minorHAnsi" w:hAnsiTheme="minorHAnsi"/>
          <w:color w:val="000000" w:themeColor="text1"/>
          <w:lang w:eastAsia="en-GB"/>
        </w:rPr>
      </w:pPr>
      <w:r w:rsidRPr="00857806">
        <w:rPr>
          <w:rFonts w:asciiTheme="minorHAnsi" w:hAnsiTheme="minorHAnsi"/>
          <w:color w:val="000000" w:themeColor="text1"/>
          <w:lang w:eastAsia="en-GB"/>
        </w:rPr>
        <w:t>T</w:t>
      </w:r>
      <w:r w:rsidR="00E13911" w:rsidRPr="00857806">
        <w:rPr>
          <w:rFonts w:asciiTheme="minorHAnsi" w:hAnsiTheme="minorHAnsi"/>
          <w:color w:val="000000" w:themeColor="text1"/>
          <w:lang w:eastAsia="en-GB"/>
        </w:rPr>
        <w:t>he budget headings are per our usual format for re</w:t>
      </w:r>
      <w:r w:rsidR="00111D0D" w:rsidRPr="00857806">
        <w:rPr>
          <w:rFonts w:asciiTheme="minorHAnsi" w:hAnsiTheme="minorHAnsi"/>
          <w:color w:val="000000" w:themeColor="text1"/>
          <w:lang w:eastAsia="en-GB"/>
        </w:rPr>
        <w:t>gular budget monitoring reports</w:t>
      </w:r>
      <w:r w:rsidR="001F40D0" w:rsidRPr="00857806">
        <w:rPr>
          <w:rFonts w:asciiTheme="minorHAnsi" w:hAnsiTheme="minorHAnsi"/>
          <w:color w:val="000000" w:themeColor="text1"/>
          <w:lang w:eastAsia="en-GB"/>
        </w:rPr>
        <w:t xml:space="preserve"> and accounting categories</w:t>
      </w:r>
      <w:r w:rsidR="00111D0D" w:rsidRPr="00857806">
        <w:rPr>
          <w:rFonts w:asciiTheme="minorHAnsi" w:hAnsiTheme="minorHAnsi"/>
          <w:color w:val="000000" w:themeColor="text1"/>
          <w:lang w:eastAsia="en-GB"/>
        </w:rPr>
        <w:t>.</w:t>
      </w:r>
      <w:r w:rsidR="00677320" w:rsidRPr="00857806">
        <w:rPr>
          <w:rFonts w:asciiTheme="minorHAnsi" w:hAnsiTheme="minorHAnsi"/>
          <w:color w:val="000000" w:themeColor="text1"/>
          <w:lang w:eastAsia="en-GB"/>
        </w:rPr>
        <w:t xml:space="preserve"> The most notable movement</w:t>
      </w:r>
      <w:r w:rsidR="00422D14" w:rsidRPr="00857806">
        <w:rPr>
          <w:rFonts w:asciiTheme="minorHAnsi" w:hAnsiTheme="minorHAnsi"/>
          <w:color w:val="000000" w:themeColor="text1"/>
          <w:lang w:eastAsia="en-GB"/>
        </w:rPr>
        <w:t xml:space="preserve">s relate to the </w:t>
      </w:r>
      <w:r w:rsidR="00DF48DA" w:rsidRPr="00857806">
        <w:rPr>
          <w:rFonts w:asciiTheme="minorHAnsi" w:hAnsiTheme="minorHAnsi"/>
          <w:color w:val="000000" w:themeColor="text1"/>
          <w:lang w:eastAsia="en-GB"/>
        </w:rPr>
        <w:t>growth in waste transport and disposal costs</w:t>
      </w:r>
      <w:r w:rsidR="005B605F" w:rsidRPr="00857806">
        <w:rPr>
          <w:rFonts w:asciiTheme="minorHAnsi" w:hAnsiTheme="minorHAnsi"/>
          <w:color w:val="000000" w:themeColor="text1"/>
          <w:lang w:eastAsia="en-GB"/>
        </w:rPr>
        <w:t>, premises, supplies and services</w:t>
      </w:r>
      <w:r w:rsidR="00DF48DA" w:rsidRPr="00857806">
        <w:rPr>
          <w:rFonts w:asciiTheme="minorHAnsi" w:hAnsiTheme="minorHAnsi"/>
          <w:color w:val="000000" w:themeColor="text1"/>
          <w:lang w:eastAsia="en-GB"/>
        </w:rPr>
        <w:t xml:space="preserve"> and levies</w:t>
      </w:r>
      <w:r w:rsidR="004B2BAE" w:rsidRPr="00857806">
        <w:rPr>
          <w:rFonts w:asciiTheme="minorHAnsi" w:hAnsiTheme="minorHAnsi"/>
          <w:color w:val="000000" w:themeColor="text1"/>
          <w:lang w:eastAsia="en-GB"/>
        </w:rPr>
        <w:t xml:space="preserve">, </w:t>
      </w:r>
      <w:r w:rsidR="0017252C" w:rsidRPr="00857806">
        <w:rPr>
          <w:rFonts w:asciiTheme="minorHAnsi" w:hAnsiTheme="minorHAnsi"/>
          <w:color w:val="000000" w:themeColor="text1"/>
          <w:lang w:eastAsia="en-GB"/>
        </w:rPr>
        <w:t xml:space="preserve">the inclusion of </w:t>
      </w:r>
      <w:r w:rsidR="004B2BAE" w:rsidRPr="00857806">
        <w:rPr>
          <w:rFonts w:asciiTheme="minorHAnsi" w:hAnsiTheme="minorHAnsi"/>
          <w:color w:val="000000" w:themeColor="text1"/>
          <w:lang w:eastAsia="en-GB"/>
        </w:rPr>
        <w:t>PPP income</w:t>
      </w:r>
      <w:r w:rsidR="0017252C" w:rsidRPr="00857806">
        <w:rPr>
          <w:rFonts w:asciiTheme="minorHAnsi" w:hAnsiTheme="minorHAnsi"/>
          <w:color w:val="000000" w:themeColor="text1"/>
          <w:lang w:eastAsia="en-GB"/>
        </w:rPr>
        <w:t xml:space="preserve"> payable to boroughs and</w:t>
      </w:r>
      <w:r w:rsidR="004B2BAE" w:rsidRPr="00857806">
        <w:rPr>
          <w:rFonts w:asciiTheme="minorHAnsi" w:hAnsiTheme="minorHAnsi"/>
          <w:color w:val="000000" w:themeColor="text1"/>
          <w:lang w:eastAsia="en-GB"/>
        </w:rPr>
        <w:t xml:space="preserve"> </w:t>
      </w:r>
      <w:r w:rsidR="0017252C" w:rsidRPr="00857806">
        <w:rPr>
          <w:rFonts w:asciiTheme="minorHAnsi" w:hAnsiTheme="minorHAnsi"/>
          <w:color w:val="000000" w:themeColor="text1"/>
          <w:lang w:eastAsia="en-GB"/>
        </w:rPr>
        <w:t xml:space="preserve">the </w:t>
      </w:r>
      <w:r w:rsidR="004B2BAE" w:rsidRPr="00857806">
        <w:rPr>
          <w:rFonts w:asciiTheme="minorHAnsi" w:hAnsiTheme="minorHAnsi"/>
          <w:color w:val="000000" w:themeColor="text1"/>
          <w:lang w:eastAsia="en-GB"/>
        </w:rPr>
        <w:t xml:space="preserve">funding </w:t>
      </w:r>
      <w:r w:rsidR="0017252C" w:rsidRPr="00857806">
        <w:rPr>
          <w:rFonts w:asciiTheme="minorHAnsi" w:hAnsiTheme="minorHAnsi"/>
          <w:color w:val="000000" w:themeColor="text1"/>
          <w:lang w:eastAsia="en-GB"/>
        </w:rPr>
        <w:t xml:space="preserve">of </w:t>
      </w:r>
      <w:r w:rsidR="00874BB0" w:rsidRPr="00857806">
        <w:rPr>
          <w:rFonts w:asciiTheme="minorHAnsi" w:hAnsiTheme="minorHAnsi"/>
          <w:color w:val="000000" w:themeColor="text1"/>
          <w:lang w:eastAsia="en-GB"/>
        </w:rPr>
        <w:t>3 programmes of work</w:t>
      </w:r>
      <w:r w:rsidR="00422D14" w:rsidRPr="00857806">
        <w:rPr>
          <w:rFonts w:asciiTheme="minorHAnsi" w:hAnsiTheme="minorHAnsi"/>
          <w:color w:val="000000" w:themeColor="text1"/>
          <w:lang w:eastAsia="en-GB"/>
        </w:rPr>
        <w:t>.</w:t>
      </w:r>
      <w:r w:rsidR="001F40D0" w:rsidRPr="00857806">
        <w:rPr>
          <w:rFonts w:asciiTheme="minorHAnsi" w:hAnsiTheme="minorHAnsi"/>
          <w:color w:val="000000" w:themeColor="text1"/>
          <w:lang w:eastAsia="en-GB"/>
        </w:rPr>
        <w:t xml:space="preserve">  </w:t>
      </w:r>
    </w:p>
    <w:p w14:paraId="5CE27BAE" w14:textId="77777777" w:rsidR="00857806" w:rsidRPr="00857806" w:rsidRDefault="00857806" w:rsidP="00256721">
      <w:pPr>
        <w:pStyle w:val="ListParagraph"/>
        <w:autoSpaceDE w:val="0"/>
        <w:autoSpaceDN w:val="0"/>
        <w:adjustRightInd w:val="0"/>
        <w:spacing w:before="240" w:after="120" w:line="240" w:lineRule="auto"/>
        <w:ind w:left="360"/>
        <w:jc w:val="both"/>
        <w:rPr>
          <w:rFonts w:asciiTheme="minorHAnsi" w:hAnsiTheme="minorHAnsi"/>
          <w:color w:val="000000" w:themeColor="text1"/>
          <w:lang w:eastAsia="en-GB"/>
        </w:rPr>
      </w:pPr>
    </w:p>
    <w:p w14:paraId="07CD62C8" w14:textId="17406348" w:rsidR="00CE2B92" w:rsidRPr="00857806" w:rsidRDefault="00CE2B92" w:rsidP="0030376E">
      <w:pPr>
        <w:pStyle w:val="ListParagraph"/>
        <w:numPr>
          <w:ilvl w:val="1"/>
          <w:numId w:val="41"/>
        </w:numPr>
        <w:autoSpaceDE w:val="0"/>
        <w:autoSpaceDN w:val="0"/>
        <w:adjustRightInd w:val="0"/>
        <w:spacing w:before="240" w:after="120" w:line="240" w:lineRule="auto"/>
        <w:jc w:val="both"/>
        <w:rPr>
          <w:rFonts w:asciiTheme="minorHAnsi" w:hAnsiTheme="minorHAnsi"/>
          <w:color w:val="000000" w:themeColor="text1"/>
          <w:lang w:eastAsia="en-GB"/>
        </w:rPr>
      </w:pPr>
      <w:r w:rsidRPr="00857806">
        <w:rPr>
          <w:rFonts w:asciiTheme="minorHAnsi" w:hAnsiTheme="minorHAnsi"/>
          <w:color w:val="000000" w:themeColor="text1"/>
          <w:lang w:eastAsia="en-GB"/>
        </w:rPr>
        <w:t>N</w:t>
      </w:r>
      <w:r w:rsidR="00422D14" w:rsidRPr="00857806">
        <w:rPr>
          <w:rFonts w:asciiTheme="minorHAnsi" w:hAnsiTheme="minorHAnsi"/>
          <w:color w:val="000000" w:themeColor="text1"/>
          <w:lang w:eastAsia="en-GB"/>
        </w:rPr>
        <w:t>ot</w:t>
      </w:r>
      <w:r w:rsidRPr="00857806">
        <w:rPr>
          <w:rFonts w:asciiTheme="minorHAnsi" w:hAnsiTheme="minorHAnsi"/>
          <w:color w:val="000000" w:themeColor="text1"/>
          <w:lang w:eastAsia="en-GB"/>
        </w:rPr>
        <w:t>e that</w:t>
      </w:r>
      <w:r w:rsidR="00422D14" w:rsidRPr="00857806">
        <w:rPr>
          <w:rFonts w:asciiTheme="minorHAnsi" w:hAnsiTheme="minorHAnsi"/>
          <w:color w:val="000000" w:themeColor="text1"/>
          <w:lang w:eastAsia="en-GB"/>
        </w:rPr>
        <w:t xml:space="preserve"> the </w:t>
      </w:r>
      <w:r w:rsidR="004D4BE0" w:rsidRPr="00857806">
        <w:rPr>
          <w:rFonts w:asciiTheme="minorHAnsi" w:hAnsiTheme="minorHAnsi"/>
          <w:color w:val="000000" w:themeColor="text1"/>
          <w:lang w:eastAsia="en-GB"/>
        </w:rPr>
        <w:t xml:space="preserve">MRF activities have a neutral effect with costs being </w:t>
      </w:r>
      <w:r w:rsidR="00422D14" w:rsidRPr="00857806">
        <w:rPr>
          <w:rFonts w:asciiTheme="minorHAnsi" w:hAnsiTheme="minorHAnsi"/>
          <w:color w:val="000000" w:themeColor="text1"/>
          <w:lang w:eastAsia="en-GB"/>
        </w:rPr>
        <w:t>pass</w:t>
      </w:r>
      <w:r w:rsidRPr="00857806">
        <w:rPr>
          <w:rFonts w:asciiTheme="minorHAnsi" w:hAnsiTheme="minorHAnsi"/>
          <w:color w:val="000000" w:themeColor="text1"/>
          <w:lang w:eastAsia="en-GB"/>
        </w:rPr>
        <w:t>ed</w:t>
      </w:r>
      <w:r w:rsidR="00422D14" w:rsidRPr="00857806">
        <w:rPr>
          <w:rFonts w:asciiTheme="minorHAnsi" w:hAnsiTheme="minorHAnsi"/>
          <w:color w:val="000000" w:themeColor="text1"/>
          <w:lang w:eastAsia="en-GB"/>
        </w:rPr>
        <w:t xml:space="preserve"> through to Ealing </w:t>
      </w:r>
      <w:r w:rsidR="005B605F" w:rsidRPr="00857806">
        <w:rPr>
          <w:rFonts w:asciiTheme="minorHAnsi" w:hAnsiTheme="minorHAnsi"/>
          <w:color w:val="000000" w:themeColor="text1"/>
          <w:lang w:eastAsia="en-GB"/>
        </w:rPr>
        <w:t xml:space="preserve">and Brent </w:t>
      </w:r>
      <w:r w:rsidR="00422D14" w:rsidRPr="00857806">
        <w:rPr>
          <w:rFonts w:asciiTheme="minorHAnsi" w:hAnsiTheme="minorHAnsi"/>
          <w:color w:val="000000" w:themeColor="text1"/>
          <w:lang w:eastAsia="en-GB"/>
        </w:rPr>
        <w:t>for the services</w:t>
      </w:r>
      <w:r w:rsidRPr="00857806">
        <w:rPr>
          <w:rFonts w:asciiTheme="minorHAnsi" w:hAnsiTheme="minorHAnsi"/>
          <w:color w:val="000000" w:themeColor="text1"/>
          <w:lang w:eastAsia="en-GB"/>
        </w:rPr>
        <w:t xml:space="preserve"> provided</w:t>
      </w:r>
      <w:r w:rsidR="004D4BE0" w:rsidRPr="00857806">
        <w:rPr>
          <w:rFonts w:asciiTheme="minorHAnsi" w:hAnsiTheme="minorHAnsi"/>
          <w:color w:val="000000" w:themeColor="text1"/>
          <w:lang w:eastAsia="en-GB"/>
        </w:rPr>
        <w:t xml:space="preserve">. </w:t>
      </w:r>
      <w:r w:rsidR="00205B82" w:rsidRPr="00857806">
        <w:rPr>
          <w:rFonts w:asciiTheme="minorHAnsi" w:hAnsiTheme="minorHAnsi"/>
          <w:color w:val="000000" w:themeColor="text1"/>
          <w:lang w:eastAsia="en-GB"/>
        </w:rPr>
        <w:t>There is an increase in cost and income to reflect Brent being on board for this service.</w:t>
      </w:r>
    </w:p>
    <w:p w14:paraId="6D5348C1" w14:textId="35644F29" w:rsidR="00111D0D" w:rsidRDefault="00857806" w:rsidP="00256721">
      <w:pPr>
        <w:autoSpaceDE w:val="0"/>
        <w:autoSpaceDN w:val="0"/>
        <w:adjustRightInd w:val="0"/>
        <w:spacing w:before="240" w:after="120"/>
        <w:jc w:val="both"/>
        <w:rPr>
          <w:rFonts w:asciiTheme="minorHAnsi" w:hAnsiTheme="minorHAnsi" w:cs="Arial"/>
          <w:sz w:val="22"/>
          <w:szCs w:val="22"/>
          <w:lang w:eastAsia="en-GB"/>
        </w:rPr>
      </w:pPr>
      <w:r>
        <w:rPr>
          <w:rFonts w:asciiTheme="minorHAnsi" w:hAnsiTheme="minorHAnsi" w:cs="Arial"/>
          <w:sz w:val="22"/>
          <w:szCs w:val="22"/>
          <w:lang w:eastAsia="en-GB"/>
        </w:rPr>
        <w:t xml:space="preserve">2.15  </w:t>
      </w:r>
      <w:r w:rsidR="00A47027" w:rsidRPr="001D52A0">
        <w:rPr>
          <w:rFonts w:asciiTheme="minorHAnsi" w:hAnsiTheme="minorHAnsi" w:cs="Arial"/>
          <w:sz w:val="22"/>
          <w:szCs w:val="22"/>
          <w:lang w:eastAsia="en-GB"/>
        </w:rPr>
        <w:t xml:space="preserve">Plans for the coming year and </w:t>
      </w:r>
      <w:r w:rsidR="006F650C" w:rsidRPr="001D52A0">
        <w:rPr>
          <w:rFonts w:asciiTheme="minorHAnsi" w:hAnsiTheme="minorHAnsi" w:cs="Arial"/>
          <w:sz w:val="22"/>
          <w:szCs w:val="22"/>
          <w:lang w:eastAsia="en-GB"/>
        </w:rPr>
        <w:t xml:space="preserve">an explanation of </w:t>
      </w:r>
      <w:r w:rsidR="003B0399" w:rsidRPr="001D52A0">
        <w:rPr>
          <w:rFonts w:asciiTheme="minorHAnsi" w:hAnsiTheme="minorHAnsi" w:cs="Arial"/>
          <w:sz w:val="22"/>
          <w:szCs w:val="22"/>
          <w:lang w:eastAsia="en-GB"/>
        </w:rPr>
        <w:t>budget items follow</w:t>
      </w:r>
      <w:r w:rsidR="006F650C" w:rsidRPr="001D52A0">
        <w:rPr>
          <w:rFonts w:asciiTheme="minorHAnsi" w:hAnsiTheme="minorHAnsi" w:cs="Arial"/>
          <w:sz w:val="22"/>
          <w:szCs w:val="22"/>
          <w:lang w:eastAsia="en-GB"/>
        </w:rPr>
        <w:t>s</w:t>
      </w:r>
      <w:r w:rsidR="003B0399" w:rsidRPr="001D52A0">
        <w:rPr>
          <w:rFonts w:asciiTheme="minorHAnsi" w:hAnsiTheme="minorHAnsi" w:cs="Arial"/>
          <w:sz w:val="22"/>
          <w:szCs w:val="22"/>
          <w:lang w:eastAsia="en-GB"/>
        </w:rPr>
        <w:t>.</w:t>
      </w:r>
    </w:p>
    <w:p w14:paraId="2F1AF380" w14:textId="77777777" w:rsidR="00D104D3" w:rsidRPr="001D52A0" w:rsidRDefault="00C25042" w:rsidP="00D104D3">
      <w:pPr>
        <w:numPr>
          <w:ilvl w:val="0"/>
          <w:numId w:val="2"/>
        </w:numPr>
        <w:autoSpaceDE w:val="0"/>
        <w:autoSpaceDN w:val="0"/>
        <w:adjustRightInd w:val="0"/>
        <w:spacing w:before="240" w:after="120"/>
        <w:jc w:val="both"/>
        <w:rPr>
          <w:rFonts w:asciiTheme="minorHAnsi" w:hAnsiTheme="minorHAnsi" w:cs="Arial"/>
          <w:b/>
          <w:sz w:val="22"/>
          <w:szCs w:val="22"/>
        </w:rPr>
      </w:pPr>
      <w:r w:rsidRPr="001D52A0">
        <w:rPr>
          <w:rFonts w:asciiTheme="minorHAnsi" w:hAnsiTheme="minorHAnsi" w:cs="Arial"/>
          <w:b/>
          <w:sz w:val="22"/>
          <w:szCs w:val="22"/>
        </w:rPr>
        <w:t>Pro</w:t>
      </w:r>
      <w:r w:rsidR="00B57CE1" w:rsidRPr="001D52A0">
        <w:rPr>
          <w:rFonts w:asciiTheme="minorHAnsi" w:hAnsiTheme="minorHAnsi" w:cs="Arial"/>
          <w:b/>
          <w:sz w:val="22"/>
          <w:szCs w:val="22"/>
        </w:rPr>
        <w:t xml:space="preserve">gramme of work </w:t>
      </w:r>
      <w:r w:rsidR="00F1664F" w:rsidRPr="001D52A0">
        <w:rPr>
          <w:rFonts w:asciiTheme="minorHAnsi" w:hAnsiTheme="minorHAnsi" w:cs="Arial"/>
          <w:b/>
          <w:sz w:val="22"/>
          <w:szCs w:val="22"/>
        </w:rPr>
        <w:t xml:space="preserve">funded by </w:t>
      </w:r>
      <w:r w:rsidR="00F63253" w:rsidRPr="001D52A0">
        <w:rPr>
          <w:rFonts w:asciiTheme="minorHAnsi" w:hAnsiTheme="minorHAnsi" w:cs="Arial"/>
          <w:b/>
          <w:sz w:val="22"/>
          <w:szCs w:val="22"/>
        </w:rPr>
        <w:t>PPP income</w:t>
      </w:r>
    </w:p>
    <w:p w14:paraId="37FC31D1" w14:textId="4EE1254D" w:rsidR="009771B4" w:rsidRPr="001D52A0" w:rsidRDefault="00D104D3" w:rsidP="00D104D3">
      <w:p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 xml:space="preserve">3.1 The </w:t>
      </w:r>
      <w:r w:rsidR="009771B4" w:rsidRPr="001D52A0">
        <w:rPr>
          <w:rFonts w:asciiTheme="minorHAnsi" w:hAnsiTheme="minorHAnsi" w:cs="Arial"/>
          <w:sz w:val="22"/>
          <w:szCs w:val="22"/>
        </w:rPr>
        <w:t>Finance Strategy approved in September</w:t>
      </w:r>
      <w:r w:rsidR="00E91D75" w:rsidRPr="001D52A0">
        <w:rPr>
          <w:rFonts w:asciiTheme="minorHAnsi" w:hAnsiTheme="minorHAnsi" w:cs="Arial"/>
          <w:sz w:val="22"/>
          <w:szCs w:val="22"/>
        </w:rPr>
        <w:t xml:space="preserve"> 2022</w:t>
      </w:r>
      <w:r w:rsidR="009771B4" w:rsidRPr="001D52A0">
        <w:rPr>
          <w:rFonts w:asciiTheme="minorHAnsi" w:hAnsiTheme="minorHAnsi" w:cs="Arial"/>
          <w:sz w:val="22"/>
          <w:szCs w:val="22"/>
        </w:rPr>
        <w:t xml:space="preserve"> identified that two thirds of PPP income</w:t>
      </w:r>
      <w:r w:rsidR="00E91D75" w:rsidRPr="001D52A0">
        <w:rPr>
          <w:rFonts w:asciiTheme="minorHAnsi" w:hAnsiTheme="minorHAnsi" w:cs="Arial"/>
          <w:sz w:val="22"/>
          <w:szCs w:val="22"/>
        </w:rPr>
        <w:t xml:space="preserve"> received in 2023/24</w:t>
      </w:r>
      <w:r w:rsidR="009771B4" w:rsidRPr="001D52A0">
        <w:rPr>
          <w:rFonts w:asciiTheme="minorHAnsi" w:hAnsiTheme="minorHAnsi" w:cs="Arial"/>
          <w:sz w:val="22"/>
          <w:szCs w:val="22"/>
        </w:rPr>
        <w:t xml:space="preserve"> would be passed through to boroughs and one third of PPP income would be set aside </w:t>
      </w:r>
      <w:r w:rsidR="00F1664F" w:rsidRPr="001D52A0">
        <w:rPr>
          <w:rFonts w:asciiTheme="minorHAnsi" w:hAnsiTheme="minorHAnsi" w:cs="Arial"/>
          <w:sz w:val="22"/>
          <w:szCs w:val="22"/>
        </w:rPr>
        <w:t xml:space="preserve">for </w:t>
      </w:r>
      <w:r w:rsidR="009771B4" w:rsidRPr="001D52A0">
        <w:rPr>
          <w:rFonts w:asciiTheme="minorHAnsi" w:hAnsiTheme="minorHAnsi" w:cs="Arial"/>
          <w:sz w:val="22"/>
          <w:szCs w:val="22"/>
        </w:rPr>
        <w:t xml:space="preserve">Authority </w:t>
      </w:r>
      <w:r w:rsidR="00F1664F" w:rsidRPr="001D52A0">
        <w:rPr>
          <w:rFonts w:asciiTheme="minorHAnsi" w:hAnsiTheme="minorHAnsi" w:cs="Arial"/>
          <w:sz w:val="22"/>
          <w:szCs w:val="22"/>
        </w:rPr>
        <w:t xml:space="preserve">Strategic </w:t>
      </w:r>
      <w:r w:rsidR="009771B4" w:rsidRPr="001D52A0">
        <w:rPr>
          <w:rFonts w:asciiTheme="minorHAnsi" w:hAnsiTheme="minorHAnsi" w:cs="Arial"/>
          <w:sz w:val="22"/>
          <w:szCs w:val="22"/>
        </w:rPr>
        <w:t>projects.</w:t>
      </w:r>
    </w:p>
    <w:p w14:paraId="6110013B" w14:textId="7E2C5A32" w:rsidR="001A32E4" w:rsidRPr="001D52A0" w:rsidRDefault="009771B4" w:rsidP="00D104D3">
      <w:p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lastRenderedPageBreak/>
        <w:t xml:space="preserve">3.2 </w:t>
      </w:r>
      <w:r w:rsidR="001A32E4" w:rsidRPr="001D52A0">
        <w:rPr>
          <w:rFonts w:asciiTheme="minorHAnsi" w:hAnsiTheme="minorHAnsi" w:cs="Arial"/>
          <w:sz w:val="22"/>
          <w:szCs w:val="22"/>
        </w:rPr>
        <w:t xml:space="preserve">On this basis </w:t>
      </w:r>
      <w:r w:rsidR="00674D25" w:rsidRPr="001D52A0">
        <w:rPr>
          <w:rFonts w:asciiTheme="minorHAnsi" w:hAnsiTheme="minorHAnsi" w:cs="Arial"/>
          <w:sz w:val="22"/>
          <w:szCs w:val="22"/>
        </w:rPr>
        <w:t xml:space="preserve">for the Authority’s share of PPP income, </w:t>
      </w:r>
      <w:r w:rsidR="002C34F8" w:rsidRPr="001D52A0">
        <w:rPr>
          <w:rFonts w:asciiTheme="minorHAnsi" w:hAnsiTheme="minorHAnsi" w:cs="Arial"/>
          <w:sz w:val="22"/>
          <w:szCs w:val="22"/>
        </w:rPr>
        <w:t>three</w:t>
      </w:r>
      <w:r w:rsidR="001A32E4" w:rsidRPr="001D52A0">
        <w:rPr>
          <w:rFonts w:asciiTheme="minorHAnsi" w:hAnsiTheme="minorHAnsi" w:cs="Arial"/>
          <w:sz w:val="22"/>
          <w:szCs w:val="22"/>
        </w:rPr>
        <w:t xml:space="preserve"> programmes of work </w:t>
      </w:r>
      <w:r w:rsidR="00E91D75" w:rsidRPr="001D52A0">
        <w:rPr>
          <w:rFonts w:asciiTheme="minorHAnsi" w:hAnsiTheme="minorHAnsi" w:cs="Arial"/>
          <w:sz w:val="22"/>
          <w:szCs w:val="22"/>
        </w:rPr>
        <w:t>were</w:t>
      </w:r>
      <w:r w:rsidR="001A32E4" w:rsidRPr="001D52A0">
        <w:rPr>
          <w:rFonts w:asciiTheme="minorHAnsi" w:hAnsiTheme="minorHAnsi" w:cs="Arial"/>
          <w:sz w:val="22"/>
          <w:szCs w:val="22"/>
        </w:rPr>
        <w:t xml:space="preserve"> identified:</w:t>
      </w:r>
    </w:p>
    <w:p w14:paraId="6F61FFAF" w14:textId="0F0EB196" w:rsidR="00E91D75" w:rsidRPr="001D52A0" w:rsidRDefault="002C34F8" w:rsidP="00E91D75">
      <w:pPr>
        <w:numPr>
          <w:ilvl w:val="0"/>
          <w:numId w:val="26"/>
        </w:numPr>
        <w:autoSpaceDE w:val="0"/>
        <w:autoSpaceDN w:val="0"/>
        <w:adjustRightInd w:val="0"/>
        <w:jc w:val="both"/>
        <w:rPr>
          <w:rFonts w:asciiTheme="minorHAnsi" w:hAnsiTheme="minorHAnsi" w:cs="Arial"/>
          <w:sz w:val="22"/>
          <w:szCs w:val="22"/>
        </w:rPr>
      </w:pPr>
      <w:r w:rsidRPr="001D52A0">
        <w:rPr>
          <w:rFonts w:asciiTheme="minorHAnsi" w:hAnsiTheme="minorHAnsi" w:cs="Arial"/>
          <w:sz w:val="22"/>
          <w:szCs w:val="22"/>
        </w:rPr>
        <w:t>Citizen Perception</w:t>
      </w:r>
      <w:r w:rsidR="00E91D75" w:rsidRPr="001D52A0">
        <w:rPr>
          <w:rFonts w:asciiTheme="minorHAnsi" w:hAnsiTheme="minorHAnsi" w:cs="Arial"/>
          <w:sz w:val="22"/>
          <w:szCs w:val="22"/>
        </w:rPr>
        <w:t xml:space="preserve"> – To better inform residents of complex recycling challenges and inform boroughs of recycling opportunities</w:t>
      </w:r>
    </w:p>
    <w:p w14:paraId="58EC51D9" w14:textId="77777777" w:rsidR="00E91D75" w:rsidRPr="001D52A0" w:rsidRDefault="00E91D75" w:rsidP="00E91D75">
      <w:pPr>
        <w:numPr>
          <w:ilvl w:val="0"/>
          <w:numId w:val="26"/>
        </w:numPr>
        <w:autoSpaceDE w:val="0"/>
        <w:autoSpaceDN w:val="0"/>
        <w:adjustRightInd w:val="0"/>
        <w:jc w:val="both"/>
        <w:rPr>
          <w:rFonts w:asciiTheme="minorHAnsi" w:hAnsiTheme="minorHAnsi" w:cs="Arial"/>
          <w:sz w:val="22"/>
          <w:szCs w:val="22"/>
        </w:rPr>
      </w:pPr>
      <w:r w:rsidRPr="001D52A0">
        <w:rPr>
          <w:rFonts w:asciiTheme="minorHAnsi" w:hAnsiTheme="minorHAnsi" w:cs="Arial"/>
          <w:sz w:val="22"/>
          <w:szCs w:val="22"/>
        </w:rPr>
        <w:t>Social Value and Reuse – to decarbonise HRRC services and create social value</w:t>
      </w:r>
    </w:p>
    <w:p w14:paraId="3E0C1A43" w14:textId="77777777" w:rsidR="001A32E4" w:rsidRPr="001D52A0" w:rsidRDefault="00654966" w:rsidP="004E4209">
      <w:pPr>
        <w:numPr>
          <w:ilvl w:val="0"/>
          <w:numId w:val="26"/>
        </w:numPr>
        <w:autoSpaceDE w:val="0"/>
        <w:autoSpaceDN w:val="0"/>
        <w:adjustRightInd w:val="0"/>
        <w:jc w:val="both"/>
        <w:rPr>
          <w:rFonts w:asciiTheme="minorHAnsi" w:hAnsiTheme="minorHAnsi" w:cs="Arial"/>
          <w:sz w:val="22"/>
          <w:szCs w:val="22"/>
        </w:rPr>
      </w:pPr>
      <w:r w:rsidRPr="001D52A0">
        <w:rPr>
          <w:rFonts w:asciiTheme="minorHAnsi" w:hAnsiTheme="minorHAnsi" w:cs="Arial"/>
          <w:sz w:val="22"/>
          <w:szCs w:val="22"/>
        </w:rPr>
        <w:t>Digital Twin</w:t>
      </w:r>
      <w:r w:rsidR="001A32E4" w:rsidRPr="001D52A0">
        <w:rPr>
          <w:rFonts w:asciiTheme="minorHAnsi" w:hAnsiTheme="minorHAnsi" w:cs="Arial"/>
          <w:sz w:val="22"/>
          <w:szCs w:val="22"/>
        </w:rPr>
        <w:t xml:space="preserve"> – to decarbonise collection services and find immediate cost savings for boroughs</w:t>
      </w:r>
    </w:p>
    <w:p w14:paraId="4872164E" w14:textId="77777777" w:rsidR="00E91D75" w:rsidRPr="001D52A0" w:rsidRDefault="00E91D75" w:rsidP="00E91D75">
      <w:pPr>
        <w:autoSpaceDE w:val="0"/>
        <w:autoSpaceDN w:val="0"/>
        <w:adjustRightInd w:val="0"/>
        <w:ind w:left="720"/>
        <w:jc w:val="both"/>
        <w:rPr>
          <w:rFonts w:asciiTheme="minorHAnsi" w:hAnsiTheme="minorHAnsi" w:cs="Arial"/>
          <w:sz w:val="22"/>
          <w:szCs w:val="22"/>
        </w:rPr>
      </w:pPr>
    </w:p>
    <w:p w14:paraId="12F4537D" w14:textId="15515FCD" w:rsidR="00F1664F" w:rsidRPr="001D52A0" w:rsidRDefault="00E66DA2" w:rsidP="003A281C">
      <w:pPr>
        <w:autoSpaceDE w:val="0"/>
        <w:autoSpaceDN w:val="0"/>
        <w:adjustRightInd w:val="0"/>
        <w:jc w:val="both"/>
        <w:rPr>
          <w:rFonts w:asciiTheme="minorHAnsi" w:hAnsiTheme="minorHAnsi" w:cs="Arial"/>
          <w:sz w:val="22"/>
          <w:szCs w:val="22"/>
        </w:rPr>
      </w:pPr>
      <w:r w:rsidRPr="001D52A0">
        <w:rPr>
          <w:rFonts w:asciiTheme="minorHAnsi" w:hAnsiTheme="minorHAnsi" w:cs="Arial"/>
          <w:sz w:val="22"/>
          <w:szCs w:val="22"/>
        </w:rPr>
        <w:t>Brief summaries follow. The programmes</w:t>
      </w:r>
      <w:r w:rsidR="00B400FD" w:rsidRPr="001D52A0">
        <w:rPr>
          <w:rFonts w:asciiTheme="minorHAnsi" w:hAnsiTheme="minorHAnsi" w:cs="Arial"/>
          <w:sz w:val="22"/>
          <w:szCs w:val="22"/>
        </w:rPr>
        <w:t xml:space="preserve"> have been</w:t>
      </w:r>
      <w:r w:rsidRPr="001D52A0">
        <w:rPr>
          <w:rFonts w:asciiTheme="minorHAnsi" w:hAnsiTheme="minorHAnsi" w:cs="Arial"/>
          <w:sz w:val="22"/>
          <w:szCs w:val="22"/>
        </w:rPr>
        <w:t xml:space="preserve"> developed with borough colleagues and reported to stakeholders </w:t>
      </w:r>
      <w:r w:rsidR="00B400FD" w:rsidRPr="001D52A0">
        <w:rPr>
          <w:rFonts w:asciiTheme="minorHAnsi" w:hAnsiTheme="minorHAnsi" w:cs="Arial"/>
          <w:sz w:val="22"/>
          <w:szCs w:val="22"/>
        </w:rPr>
        <w:t>to monitor performance</w:t>
      </w:r>
      <w:r w:rsidRPr="001D52A0">
        <w:rPr>
          <w:rFonts w:asciiTheme="minorHAnsi" w:hAnsiTheme="minorHAnsi" w:cs="Arial"/>
          <w:sz w:val="22"/>
          <w:szCs w:val="22"/>
        </w:rPr>
        <w:t>.</w:t>
      </w:r>
    </w:p>
    <w:p w14:paraId="526111CA" w14:textId="70F4422E" w:rsidR="00E91D75" w:rsidRPr="001D52A0" w:rsidRDefault="00E91D75" w:rsidP="003A281C">
      <w:pPr>
        <w:autoSpaceDE w:val="0"/>
        <w:autoSpaceDN w:val="0"/>
        <w:adjustRightInd w:val="0"/>
        <w:jc w:val="both"/>
        <w:rPr>
          <w:rFonts w:asciiTheme="minorHAnsi" w:hAnsiTheme="minorHAnsi" w:cs="Arial"/>
          <w:sz w:val="22"/>
          <w:szCs w:val="22"/>
        </w:rPr>
      </w:pPr>
    </w:p>
    <w:p w14:paraId="0EA7F027" w14:textId="06E06524" w:rsidR="00E91D75" w:rsidRPr="001D52A0" w:rsidRDefault="00E91D75" w:rsidP="00E91D75">
      <w:pPr>
        <w:spacing w:after="200" w:line="276" w:lineRule="auto"/>
        <w:rPr>
          <w:rFonts w:asciiTheme="minorHAnsi" w:eastAsiaTheme="minorEastAsia" w:hAnsiTheme="minorHAnsi" w:cs="Arial"/>
          <w:sz w:val="22"/>
          <w:szCs w:val="22"/>
          <w:lang w:eastAsia="en-GB"/>
        </w:rPr>
      </w:pPr>
      <w:r w:rsidRPr="001D52A0">
        <w:rPr>
          <w:rFonts w:asciiTheme="minorHAnsi" w:eastAsiaTheme="minorEastAsia" w:hAnsiTheme="minorHAnsi" w:cs="Arial"/>
          <w:sz w:val="22"/>
          <w:szCs w:val="22"/>
          <w:lang w:eastAsia="en-GB"/>
        </w:rPr>
        <w:t xml:space="preserve">3.3 </w:t>
      </w:r>
      <w:r w:rsidR="00E63BBD" w:rsidRPr="001D52A0">
        <w:rPr>
          <w:rFonts w:asciiTheme="minorHAnsi" w:eastAsiaTheme="minorEastAsia" w:hAnsiTheme="minorHAnsi" w:cs="Arial"/>
          <w:sz w:val="22"/>
          <w:szCs w:val="22"/>
          <w:lang w:eastAsia="en-GB"/>
        </w:rPr>
        <w:t>Citizen Perception</w:t>
      </w:r>
      <w:r w:rsidRPr="001D52A0">
        <w:rPr>
          <w:rFonts w:asciiTheme="minorHAnsi" w:eastAsiaTheme="minorEastAsia" w:hAnsiTheme="minorHAnsi" w:cs="Arial"/>
          <w:sz w:val="22"/>
          <w:szCs w:val="22"/>
          <w:lang w:eastAsia="en-GB"/>
        </w:rPr>
        <w:t xml:space="preserve"> - The purpose of the programme is to test and measure the understanding of residents regarding waste and its role in climate change. </w:t>
      </w:r>
    </w:p>
    <w:p w14:paraId="3E78A729" w14:textId="77777777" w:rsidR="00E91D75" w:rsidRPr="001D52A0" w:rsidRDefault="00E91D75" w:rsidP="00E91D75">
      <w:pPr>
        <w:spacing w:after="200" w:line="276" w:lineRule="auto"/>
        <w:rPr>
          <w:rFonts w:asciiTheme="minorHAnsi" w:eastAsiaTheme="minorEastAsia" w:hAnsiTheme="minorHAnsi" w:cs="Arial"/>
          <w:sz w:val="22"/>
          <w:szCs w:val="22"/>
          <w:lang w:eastAsia="en-GB"/>
        </w:rPr>
      </w:pPr>
      <w:r w:rsidRPr="001D52A0">
        <w:rPr>
          <w:rFonts w:asciiTheme="minorHAnsi" w:eastAsiaTheme="minorEastAsia" w:hAnsiTheme="minorHAnsi" w:cs="Arial"/>
          <w:sz w:val="22"/>
          <w:szCs w:val="22"/>
          <w:lang w:eastAsia="en-GB"/>
        </w:rPr>
        <w:t>Effective usage of the systems that are in place already would more than halve the residual waste generated in West London. WLWA officers are working with insights specialists and behaviour academics to identify mechanisms to shift the culture of residents towards valuing material and understanding the limitations/constraints of the system.</w:t>
      </w:r>
    </w:p>
    <w:p w14:paraId="35B19308" w14:textId="2EB0B440" w:rsidR="00E91D75" w:rsidRPr="001D52A0" w:rsidRDefault="00E91D75" w:rsidP="00E91D75">
      <w:pPr>
        <w:spacing w:after="200" w:line="276" w:lineRule="auto"/>
        <w:rPr>
          <w:rFonts w:asciiTheme="minorHAnsi" w:eastAsiaTheme="minorEastAsia" w:hAnsiTheme="minorHAnsi" w:cs="Arial"/>
          <w:sz w:val="22"/>
          <w:szCs w:val="22"/>
          <w:lang w:eastAsia="en-GB"/>
        </w:rPr>
      </w:pPr>
      <w:r w:rsidRPr="001D52A0">
        <w:rPr>
          <w:rFonts w:asciiTheme="minorHAnsi" w:eastAsiaTheme="minorEastAsia" w:hAnsiTheme="minorHAnsi" w:cs="Arial"/>
          <w:sz w:val="22"/>
          <w:szCs w:val="22"/>
          <w:lang w:eastAsia="en-GB"/>
        </w:rPr>
        <w:t xml:space="preserve">3.4 Social Value and Reuse </w:t>
      </w:r>
      <w:r w:rsidR="00E63BBD" w:rsidRPr="001D52A0">
        <w:rPr>
          <w:rFonts w:asciiTheme="minorHAnsi" w:eastAsiaTheme="minorEastAsia" w:hAnsiTheme="minorHAnsi" w:cs="Arial"/>
          <w:sz w:val="22"/>
          <w:szCs w:val="22"/>
          <w:lang w:eastAsia="en-GB"/>
        </w:rPr>
        <w:t>– The purpose of this</w:t>
      </w:r>
      <w:r w:rsidRPr="001D52A0">
        <w:rPr>
          <w:rFonts w:asciiTheme="minorHAnsi" w:eastAsiaTheme="minorEastAsia" w:hAnsiTheme="minorHAnsi" w:cs="Arial"/>
          <w:sz w:val="22"/>
          <w:szCs w:val="22"/>
          <w:lang w:eastAsia="en-GB"/>
        </w:rPr>
        <w:t xml:space="preserve"> programme </w:t>
      </w:r>
      <w:r w:rsidR="00E63BBD" w:rsidRPr="001D52A0">
        <w:rPr>
          <w:rFonts w:asciiTheme="minorHAnsi" w:eastAsiaTheme="minorEastAsia" w:hAnsiTheme="minorHAnsi" w:cs="Arial"/>
          <w:sz w:val="22"/>
          <w:szCs w:val="22"/>
          <w:lang w:eastAsia="en-GB"/>
        </w:rPr>
        <w:t xml:space="preserve">is </w:t>
      </w:r>
      <w:r w:rsidRPr="001D52A0">
        <w:rPr>
          <w:rFonts w:asciiTheme="minorHAnsi" w:eastAsiaTheme="minorEastAsia" w:hAnsiTheme="minorHAnsi" w:cs="Arial"/>
          <w:sz w:val="22"/>
          <w:szCs w:val="22"/>
          <w:lang w:eastAsia="en-GB"/>
        </w:rPr>
        <w:t>to start moving material even further up the waste hierarchy to Reuse and Reduction. This is a programme designed to change the linear model of ownership and start the transition to a circular economy. Significant volumes of reusable items are brought to HRRCs in the area and are currently sent for recycling (material value). This programme of works is to start working with third sector and SMEs to develop a sustainable model for reuse and repair in West London.</w:t>
      </w:r>
    </w:p>
    <w:p w14:paraId="728F489C" w14:textId="7B07E419" w:rsidR="00E91D75" w:rsidRPr="001D52A0" w:rsidRDefault="00E91D75" w:rsidP="00E91D75">
      <w:pPr>
        <w:spacing w:after="200" w:line="276" w:lineRule="auto"/>
        <w:rPr>
          <w:rFonts w:asciiTheme="minorHAnsi" w:eastAsiaTheme="minorEastAsia" w:hAnsiTheme="minorHAnsi" w:cs="Arial"/>
          <w:sz w:val="22"/>
          <w:szCs w:val="22"/>
          <w:lang w:eastAsia="en-GB"/>
        </w:rPr>
      </w:pPr>
      <w:r w:rsidRPr="001D52A0">
        <w:rPr>
          <w:rFonts w:asciiTheme="minorHAnsi" w:eastAsiaTheme="minorEastAsia" w:hAnsiTheme="minorHAnsi" w:cs="Arial"/>
          <w:sz w:val="22"/>
          <w:szCs w:val="22"/>
          <w:lang w:eastAsia="en-GB"/>
        </w:rPr>
        <w:t xml:space="preserve">3.5 </w:t>
      </w:r>
      <w:r w:rsidR="000B1FEC" w:rsidRPr="001D52A0">
        <w:rPr>
          <w:rFonts w:asciiTheme="minorHAnsi" w:eastAsiaTheme="minorEastAsia" w:hAnsiTheme="minorHAnsi" w:cs="Arial"/>
          <w:sz w:val="22"/>
          <w:szCs w:val="22"/>
          <w:lang w:eastAsia="en-GB"/>
        </w:rPr>
        <w:t>Digital Twin</w:t>
      </w:r>
      <w:r w:rsidR="00E63BBD" w:rsidRPr="001D52A0">
        <w:rPr>
          <w:rFonts w:asciiTheme="minorHAnsi" w:eastAsiaTheme="minorEastAsia" w:hAnsiTheme="minorHAnsi" w:cs="Arial"/>
          <w:sz w:val="22"/>
          <w:szCs w:val="22"/>
          <w:lang w:eastAsia="en-GB"/>
        </w:rPr>
        <w:t xml:space="preserve"> – This </w:t>
      </w:r>
      <w:r w:rsidRPr="001D52A0">
        <w:rPr>
          <w:rFonts w:asciiTheme="minorHAnsi" w:eastAsiaTheme="minorEastAsia" w:hAnsiTheme="minorHAnsi" w:cs="Arial"/>
          <w:sz w:val="22"/>
          <w:szCs w:val="22"/>
          <w:lang w:eastAsia="en-GB"/>
        </w:rPr>
        <w:t xml:space="preserve">is a programme of work developed with the Boroughs to help identify areas of savings and efficiency through integrating the data available across the different organisations.  </w:t>
      </w:r>
    </w:p>
    <w:p w14:paraId="4ED15C31" w14:textId="77777777" w:rsidR="00E91D75" w:rsidRPr="001D52A0" w:rsidRDefault="00E91D75" w:rsidP="00E91D75">
      <w:pPr>
        <w:spacing w:after="200" w:line="276" w:lineRule="auto"/>
        <w:rPr>
          <w:rFonts w:asciiTheme="minorHAnsi" w:eastAsiaTheme="minorEastAsia" w:hAnsiTheme="minorHAnsi" w:cs="Arial"/>
          <w:sz w:val="22"/>
          <w:szCs w:val="22"/>
          <w:lang w:eastAsia="en-GB"/>
        </w:rPr>
      </w:pPr>
      <w:r w:rsidRPr="001D52A0">
        <w:rPr>
          <w:rFonts w:asciiTheme="minorHAnsi" w:eastAsiaTheme="minorEastAsia" w:hAnsiTheme="minorHAnsi" w:cs="Arial"/>
          <w:sz w:val="22"/>
          <w:szCs w:val="22"/>
          <w:lang w:eastAsia="en-GB"/>
        </w:rPr>
        <w:t>The digitisation and integration of the data across the Boroughs and WLWA enables the system to be modelled to estimate future services impacts from changes required such as DRS, EPR and simpler recycling collections.</w:t>
      </w:r>
    </w:p>
    <w:p w14:paraId="36B49821" w14:textId="5B086FB4" w:rsidR="00523F75" w:rsidRPr="001D52A0" w:rsidRDefault="00E66DA2" w:rsidP="00E91D75">
      <w:pPr>
        <w:spacing w:after="200" w:line="276" w:lineRule="auto"/>
        <w:rPr>
          <w:rFonts w:asciiTheme="minorHAnsi" w:hAnsiTheme="minorHAnsi" w:cs="Arial"/>
          <w:sz w:val="22"/>
          <w:szCs w:val="22"/>
        </w:rPr>
      </w:pPr>
      <w:r w:rsidRPr="001D52A0">
        <w:rPr>
          <w:rFonts w:asciiTheme="minorHAnsi" w:hAnsiTheme="minorHAnsi" w:cs="Arial"/>
          <w:sz w:val="22"/>
          <w:szCs w:val="22"/>
        </w:rPr>
        <w:t xml:space="preserve">3.6 </w:t>
      </w:r>
      <w:r w:rsidR="005E5EB5" w:rsidRPr="001D52A0">
        <w:rPr>
          <w:rFonts w:asciiTheme="minorHAnsi" w:hAnsiTheme="minorHAnsi" w:cs="Arial"/>
          <w:sz w:val="22"/>
          <w:szCs w:val="22"/>
        </w:rPr>
        <w:t xml:space="preserve">The </w:t>
      </w:r>
      <w:r w:rsidR="00EE2EBE" w:rsidRPr="001D52A0">
        <w:rPr>
          <w:rFonts w:asciiTheme="minorHAnsi" w:hAnsiTheme="minorHAnsi" w:cs="Arial"/>
          <w:sz w:val="22"/>
          <w:szCs w:val="22"/>
        </w:rPr>
        <w:t>above provide</w:t>
      </w:r>
      <w:r w:rsidR="0050500E" w:rsidRPr="001D52A0">
        <w:rPr>
          <w:rFonts w:asciiTheme="minorHAnsi" w:hAnsiTheme="minorHAnsi" w:cs="Arial"/>
          <w:sz w:val="22"/>
          <w:szCs w:val="22"/>
        </w:rPr>
        <w:t>s</w:t>
      </w:r>
      <w:r w:rsidR="00EE2EBE" w:rsidRPr="001D52A0">
        <w:rPr>
          <w:rFonts w:asciiTheme="minorHAnsi" w:hAnsiTheme="minorHAnsi" w:cs="Arial"/>
          <w:sz w:val="22"/>
          <w:szCs w:val="22"/>
        </w:rPr>
        <w:t xml:space="preserve"> an outline of the </w:t>
      </w:r>
      <w:r w:rsidR="00E63BBD" w:rsidRPr="001D52A0">
        <w:rPr>
          <w:rFonts w:asciiTheme="minorHAnsi" w:hAnsiTheme="minorHAnsi" w:cs="Arial"/>
          <w:sz w:val="22"/>
          <w:szCs w:val="22"/>
        </w:rPr>
        <w:t>three</w:t>
      </w:r>
      <w:r w:rsidR="00EC3675" w:rsidRPr="001D52A0">
        <w:rPr>
          <w:rFonts w:asciiTheme="minorHAnsi" w:hAnsiTheme="minorHAnsi" w:cs="Arial"/>
          <w:sz w:val="22"/>
          <w:szCs w:val="22"/>
        </w:rPr>
        <w:t xml:space="preserve"> </w:t>
      </w:r>
      <w:r w:rsidR="005E5EB5" w:rsidRPr="001D52A0">
        <w:rPr>
          <w:rFonts w:asciiTheme="minorHAnsi" w:hAnsiTheme="minorHAnsi" w:cs="Arial"/>
          <w:sz w:val="22"/>
          <w:szCs w:val="22"/>
        </w:rPr>
        <w:t>programmes of work</w:t>
      </w:r>
      <w:r w:rsidR="00EE2EBE" w:rsidRPr="001D52A0">
        <w:rPr>
          <w:rFonts w:asciiTheme="minorHAnsi" w:hAnsiTheme="minorHAnsi" w:cs="Arial"/>
          <w:sz w:val="22"/>
          <w:szCs w:val="22"/>
        </w:rPr>
        <w:t xml:space="preserve">. The </w:t>
      </w:r>
      <w:r w:rsidR="00EC3675" w:rsidRPr="001D52A0">
        <w:rPr>
          <w:rFonts w:asciiTheme="minorHAnsi" w:hAnsiTheme="minorHAnsi" w:cs="Arial"/>
          <w:sz w:val="22"/>
          <w:szCs w:val="22"/>
        </w:rPr>
        <w:t xml:space="preserve">programme </w:t>
      </w:r>
      <w:r w:rsidR="00E63BBD" w:rsidRPr="001D52A0">
        <w:rPr>
          <w:rFonts w:asciiTheme="minorHAnsi" w:hAnsiTheme="minorHAnsi" w:cs="Arial"/>
          <w:sz w:val="22"/>
          <w:szCs w:val="22"/>
        </w:rPr>
        <w:t>spend</w:t>
      </w:r>
      <w:r w:rsidR="00EE2EBE" w:rsidRPr="001D52A0">
        <w:rPr>
          <w:rFonts w:asciiTheme="minorHAnsi" w:hAnsiTheme="minorHAnsi" w:cs="Arial"/>
          <w:sz w:val="22"/>
          <w:szCs w:val="22"/>
        </w:rPr>
        <w:t xml:space="preserve"> </w:t>
      </w:r>
      <w:r w:rsidR="00841944" w:rsidRPr="001D52A0">
        <w:rPr>
          <w:rFonts w:asciiTheme="minorHAnsi" w:hAnsiTheme="minorHAnsi" w:cs="Arial"/>
          <w:sz w:val="22"/>
          <w:szCs w:val="22"/>
        </w:rPr>
        <w:t xml:space="preserve">totalling £2.8 million </w:t>
      </w:r>
      <w:r w:rsidR="00EE2EBE" w:rsidRPr="001D52A0">
        <w:rPr>
          <w:rFonts w:asciiTheme="minorHAnsi" w:hAnsiTheme="minorHAnsi" w:cs="Arial"/>
          <w:sz w:val="22"/>
          <w:szCs w:val="22"/>
        </w:rPr>
        <w:t xml:space="preserve">is </w:t>
      </w:r>
      <w:r w:rsidR="005E5EB5" w:rsidRPr="001D52A0">
        <w:rPr>
          <w:rFonts w:asciiTheme="minorHAnsi" w:hAnsiTheme="minorHAnsi" w:cs="Arial"/>
          <w:sz w:val="22"/>
          <w:szCs w:val="22"/>
        </w:rPr>
        <w:t xml:space="preserve">to be </w:t>
      </w:r>
      <w:r w:rsidR="00EE2EBE" w:rsidRPr="001D52A0">
        <w:rPr>
          <w:rFonts w:asciiTheme="minorHAnsi" w:hAnsiTheme="minorHAnsi" w:cs="Arial"/>
          <w:sz w:val="22"/>
          <w:szCs w:val="22"/>
        </w:rPr>
        <w:t xml:space="preserve">met from the </w:t>
      </w:r>
      <w:r w:rsidR="005E5EB5" w:rsidRPr="001D52A0">
        <w:rPr>
          <w:rFonts w:asciiTheme="minorHAnsi" w:hAnsiTheme="minorHAnsi" w:cs="Arial"/>
          <w:sz w:val="22"/>
          <w:szCs w:val="22"/>
        </w:rPr>
        <w:t>WLWA share of PPP income already received</w:t>
      </w:r>
      <w:r w:rsidR="00EC3675" w:rsidRPr="001D52A0">
        <w:rPr>
          <w:rFonts w:asciiTheme="minorHAnsi" w:hAnsiTheme="minorHAnsi" w:cs="Arial"/>
          <w:sz w:val="22"/>
          <w:szCs w:val="22"/>
        </w:rPr>
        <w:t xml:space="preserve"> and will run</w:t>
      </w:r>
      <w:r w:rsidR="0050500E" w:rsidRPr="001D52A0">
        <w:rPr>
          <w:rFonts w:asciiTheme="minorHAnsi" w:hAnsiTheme="minorHAnsi" w:cs="Arial"/>
          <w:sz w:val="22"/>
          <w:szCs w:val="22"/>
        </w:rPr>
        <w:t xml:space="preserve"> over three years</w:t>
      </w:r>
      <w:r w:rsidR="00BB38CF" w:rsidRPr="001D52A0">
        <w:rPr>
          <w:rFonts w:asciiTheme="minorHAnsi" w:hAnsiTheme="minorHAnsi" w:cs="Arial"/>
          <w:sz w:val="22"/>
          <w:szCs w:val="22"/>
        </w:rPr>
        <w:t xml:space="preserve"> </w:t>
      </w:r>
      <w:r w:rsidR="005E5EB5" w:rsidRPr="001D52A0">
        <w:rPr>
          <w:rFonts w:asciiTheme="minorHAnsi" w:hAnsiTheme="minorHAnsi" w:cs="Arial"/>
          <w:sz w:val="22"/>
          <w:szCs w:val="22"/>
        </w:rPr>
        <w:t>deliver</w:t>
      </w:r>
      <w:r w:rsidR="00BB38CF" w:rsidRPr="001D52A0">
        <w:rPr>
          <w:rFonts w:asciiTheme="minorHAnsi" w:hAnsiTheme="minorHAnsi" w:cs="Arial"/>
          <w:sz w:val="22"/>
          <w:szCs w:val="22"/>
        </w:rPr>
        <w:t>ing</w:t>
      </w:r>
      <w:r w:rsidR="00EE2EBE" w:rsidRPr="001D52A0">
        <w:rPr>
          <w:rFonts w:asciiTheme="minorHAnsi" w:hAnsiTheme="minorHAnsi" w:cs="Arial"/>
          <w:sz w:val="22"/>
          <w:szCs w:val="22"/>
        </w:rPr>
        <w:t xml:space="preserve"> </w:t>
      </w:r>
      <w:r w:rsidR="005E5EB5" w:rsidRPr="001D52A0">
        <w:rPr>
          <w:rFonts w:asciiTheme="minorHAnsi" w:hAnsiTheme="minorHAnsi" w:cs="Arial"/>
          <w:sz w:val="22"/>
          <w:szCs w:val="22"/>
        </w:rPr>
        <w:t xml:space="preserve">both financial and carbon benefits </w:t>
      </w:r>
      <w:r w:rsidR="00EE2EBE" w:rsidRPr="001D52A0">
        <w:rPr>
          <w:rFonts w:asciiTheme="minorHAnsi" w:hAnsiTheme="minorHAnsi" w:cs="Arial"/>
          <w:sz w:val="22"/>
          <w:szCs w:val="22"/>
        </w:rPr>
        <w:t xml:space="preserve">directly </w:t>
      </w:r>
      <w:r w:rsidR="005E5EB5" w:rsidRPr="001D52A0">
        <w:rPr>
          <w:rFonts w:asciiTheme="minorHAnsi" w:hAnsiTheme="minorHAnsi" w:cs="Arial"/>
          <w:sz w:val="22"/>
          <w:szCs w:val="22"/>
        </w:rPr>
        <w:t>to boroughs</w:t>
      </w:r>
      <w:r w:rsidR="0050500E" w:rsidRPr="001D52A0">
        <w:rPr>
          <w:rFonts w:asciiTheme="minorHAnsi" w:hAnsiTheme="minorHAnsi" w:cs="Arial"/>
          <w:sz w:val="22"/>
          <w:szCs w:val="22"/>
        </w:rPr>
        <w:t>.</w:t>
      </w:r>
      <w:r w:rsidR="00E954FD" w:rsidRPr="001D52A0">
        <w:rPr>
          <w:rFonts w:asciiTheme="minorHAnsi" w:hAnsiTheme="minorHAnsi" w:cs="Arial"/>
          <w:sz w:val="22"/>
          <w:szCs w:val="22"/>
        </w:rPr>
        <w:t xml:space="preserve"> </w:t>
      </w:r>
      <w:r w:rsidR="00E91D75" w:rsidRPr="001D52A0">
        <w:rPr>
          <w:rFonts w:asciiTheme="minorHAnsi" w:hAnsiTheme="minorHAnsi" w:cs="Arial"/>
          <w:sz w:val="22"/>
          <w:szCs w:val="22"/>
        </w:rPr>
        <w:t xml:space="preserve"> The aim is to generate long term savings for the boroughs.</w:t>
      </w:r>
      <w:r w:rsidR="00B400FD" w:rsidRPr="001D52A0">
        <w:rPr>
          <w:rFonts w:asciiTheme="minorHAnsi" w:hAnsiTheme="minorHAnsi" w:cs="Arial"/>
          <w:sz w:val="22"/>
          <w:szCs w:val="22"/>
        </w:rPr>
        <w:t xml:space="preserve">  2024/25 is the second year for these programmes.</w:t>
      </w:r>
    </w:p>
    <w:p w14:paraId="25F7FD8B" w14:textId="57DC0B4C" w:rsidR="00523F75" w:rsidRPr="001D52A0" w:rsidRDefault="009E1BC2" w:rsidP="00523F75">
      <w:pPr>
        <w:spacing w:after="200" w:line="276" w:lineRule="auto"/>
        <w:rPr>
          <w:rFonts w:asciiTheme="minorHAnsi" w:hAnsiTheme="minorHAnsi" w:cs="Arial"/>
          <w:sz w:val="22"/>
          <w:szCs w:val="22"/>
        </w:rPr>
      </w:pPr>
      <w:r w:rsidRPr="001D52A0">
        <w:rPr>
          <w:rFonts w:asciiTheme="minorHAnsi" w:hAnsiTheme="minorHAnsi" w:cs="Arial"/>
          <w:sz w:val="22"/>
          <w:szCs w:val="22"/>
        </w:rPr>
        <w:t>3.7</w:t>
      </w:r>
      <w:r w:rsidR="00523F75" w:rsidRPr="001D52A0">
        <w:rPr>
          <w:rFonts w:asciiTheme="minorHAnsi" w:hAnsiTheme="minorHAnsi" w:cs="Arial"/>
          <w:sz w:val="22"/>
          <w:szCs w:val="22"/>
        </w:rPr>
        <w:t xml:space="preserve"> </w:t>
      </w:r>
      <w:r w:rsidRPr="001D52A0">
        <w:rPr>
          <w:rFonts w:asciiTheme="minorHAnsi" w:hAnsiTheme="minorHAnsi" w:cs="Arial"/>
          <w:sz w:val="22"/>
          <w:szCs w:val="22"/>
        </w:rPr>
        <w:t xml:space="preserve">WLWA is continuing to work collaboratively with boroughs to reduce their food in residual waste.  This was initiated in 2020 where WLWA gave £0.5 million to each borough to increase food recycling and reduce food waste in residual.  </w:t>
      </w:r>
    </w:p>
    <w:p w14:paraId="5F0E2194" w14:textId="56A80D8D" w:rsidR="00AE6029" w:rsidRPr="001D52A0" w:rsidRDefault="00CB655A" w:rsidP="001D52A0">
      <w:pPr>
        <w:spacing w:after="200" w:line="276" w:lineRule="auto"/>
        <w:rPr>
          <w:rFonts w:asciiTheme="minorHAnsi" w:hAnsiTheme="minorHAnsi" w:cs="Arial"/>
          <w:sz w:val="22"/>
          <w:szCs w:val="22"/>
        </w:rPr>
      </w:pPr>
      <w:r w:rsidRPr="001D52A0">
        <w:rPr>
          <w:rFonts w:asciiTheme="minorHAnsi" w:hAnsiTheme="minorHAnsi" w:cs="Arial"/>
          <w:b/>
          <w:szCs w:val="22"/>
        </w:rPr>
        <w:t>4</w:t>
      </w:r>
      <w:r w:rsidRPr="001D52A0">
        <w:rPr>
          <w:rFonts w:asciiTheme="minorHAnsi" w:hAnsiTheme="minorHAnsi" w:cs="Arial"/>
          <w:b/>
          <w:sz w:val="22"/>
          <w:szCs w:val="22"/>
        </w:rPr>
        <w:t xml:space="preserve">. </w:t>
      </w:r>
      <w:r w:rsidR="005F5016" w:rsidRPr="001D52A0">
        <w:rPr>
          <w:rFonts w:asciiTheme="minorHAnsi" w:hAnsiTheme="minorHAnsi" w:cs="Arial"/>
          <w:b/>
          <w:sz w:val="22"/>
          <w:szCs w:val="22"/>
        </w:rPr>
        <w:t>W</w:t>
      </w:r>
      <w:r w:rsidR="00E906A1" w:rsidRPr="001D52A0">
        <w:rPr>
          <w:rFonts w:asciiTheme="minorHAnsi" w:hAnsiTheme="minorHAnsi" w:cs="Arial"/>
          <w:b/>
          <w:sz w:val="22"/>
          <w:szCs w:val="22"/>
        </w:rPr>
        <w:t xml:space="preserve">aste Transport &amp; Disposal </w:t>
      </w:r>
      <w:r w:rsidR="000074D6" w:rsidRPr="001D52A0">
        <w:rPr>
          <w:rFonts w:asciiTheme="minorHAnsi" w:hAnsiTheme="minorHAnsi" w:cs="Arial"/>
          <w:b/>
          <w:sz w:val="22"/>
          <w:szCs w:val="22"/>
        </w:rPr>
        <w:t>(WTD)</w:t>
      </w:r>
    </w:p>
    <w:p w14:paraId="3C2B26C6" w14:textId="77777777" w:rsidR="001A15D1" w:rsidRPr="001D52A0" w:rsidRDefault="001A15D1" w:rsidP="004E4209">
      <w:pPr>
        <w:pStyle w:val="ListParagraph"/>
        <w:numPr>
          <w:ilvl w:val="0"/>
          <w:numId w:val="13"/>
        </w:numPr>
        <w:spacing w:after="0" w:line="240" w:lineRule="auto"/>
        <w:contextualSpacing w:val="0"/>
        <w:rPr>
          <w:rFonts w:asciiTheme="minorHAnsi" w:eastAsia="Times New Roman" w:hAnsiTheme="minorHAnsi"/>
          <w:vanish/>
        </w:rPr>
      </w:pPr>
    </w:p>
    <w:p w14:paraId="5E7B4502" w14:textId="77777777" w:rsidR="001A15D1" w:rsidRPr="001D52A0" w:rsidRDefault="001A15D1" w:rsidP="004E4209">
      <w:pPr>
        <w:pStyle w:val="ListParagraph"/>
        <w:numPr>
          <w:ilvl w:val="0"/>
          <w:numId w:val="13"/>
        </w:numPr>
        <w:spacing w:after="0" w:line="240" w:lineRule="auto"/>
        <w:contextualSpacing w:val="0"/>
        <w:rPr>
          <w:rFonts w:asciiTheme="minorHAnsi" w:eastAsia="Times New Roman" w:hAnsiTheme="minorHAnsi"/>
          <w:vanish/>
        </w:rPr>
      </w:pPr>
    </w:p>
    <w:p w14:paraId="3A1337B7" w14:textId="77777777" w:rsidR="001A15D1" w:rsidRPr="001D52A0" w:rsidRDefault="001A15D1" w:rsidP="004E4209">
      <w:pPr>
        <w:numPr>
          <w:ilvl w:val="1"/>
          <w:numId w:val="13"/>
        </w:numPr>
        <w:rPr>
          <w:rFonts w:asciiTheme="minorHAnsi" w:hAnsiTheme="minorHAnsi" w:cs="Arial"/>
          <w:sz w:val="22"/>
          <w:szCs w:val="22"/>
        </w:rPr>
      </w:pPr>
      <w:r w:rsidRPr="001D52A0">
        <w:rPr>
          <w:rFonts w:asciiTheme="minorHAnsi" w:hAnsiTheme="minorHAnsi" w:cs="Arial"/>
          <w:sz w:val="22"/>
          <w:szCs w:val="22"/>
        </w:rPr>
        <w:t xml:space="preserve">The </w:t>
      </w:r>
      <w:r w:rsidR="00300F02" w:rsidRPr="001D52A0">
        <w:rPr>
          <w:rFonts w:asciiTheme="minorHAnsi" w:hAnsiTheme="minorHAnsi" w:cs="Arial"/>
          <w:sz w:val="22"/>
          <w:szCs w:val="22"/>
        </w:rPr>
        <w:t xml:space="preserve">WTD </w:t>
      </w:r>
      <w:r w:rsidRPr="001D52A0">
        <w:rPr>
          <w:rFonts w:asciiTheme="minorHAnsi" w:hAnsiTheme="minorHAnsi" w:cs="Arial"/>
          <w:sz w:val="22"/>
          <w:szCs w:val="22"/>
        </w:rPr>
        <w:t xml:space="preserve">budget accounts for the majority of the </w:t>
      </w:r>
      <w:r w:rsidR="00300F02" w:rsidRPr="001D52A0">
        <w:rPr>
          <w:rFonts w:asciiTheme="minorHAnsi" w:hAnsiTheme="minorHAnsi" w:cs="Arial"/>
          <w:sz w:val="22"/>
          <w:szCs w:val="22"/>
        </w:rPr>
        <w:t xml:space="preserve">entire </w:t>
      </w:r>
      <w:r w:rsidRPr="001D52A0">
        <w:rPr>
          <w:rFonts w:asciiTheme="minorHAnsi" w:hAnsiTheme="minorHAnsi" w:cs="Arial"/>
          <w:sz w:val="22"/>
          <w:szCs w:val="22"/>
        </w:rPr>
        <w:t xml:space="preserve">WLWA budget </w:t>
      </w:r>
      <w:r w:rsidR="00300F02" w:rsidRPr="001D52A0">
        <w:rPr>
          <w:rFonts w:asciiTheme="minorHAnsi" w:hAnsiTheme="minorHAnsi" w:cs="Arial"/>
          <w:sz w:val="22"/>
          <w:szCs w:val="22"/>
        </w:rPr>
        <w:t xml:space="preserve">and </w:t>
      </w:r>
      <w:r w:rsidRPr="001D52A0">
        <w:rPr>
          <w:rFonts w:asciiTheme="minorHAnsi" w:hAnsiTheme="minorHAnsi" w:cs="Arial"/>
          <w:sz w:val="22"/>
          <w:szCs w:val="22"/>
        </w:rPr>
        <w:t>make</w:t>
      </w:r>
      <w:r w:rsidR="00300F02" w:rsidRPr="001D52A0">
        <w:rPr>
          <w:rFonts w:asciiTheme="minorHAnsi" w:hAnsiTheme="minorHAnsi" w:cs="Arial"/>
          <w:sz w:val="22"/>
          <w:szCs w:val="22"/>
        </w:rPr>
        <w:t>s</w:t>
      </w:r>
      <w:r w:rsidRPr="001D52A0">
        <w:rPr>
          <w:rFonts w:asciiTheme="minorHAnsi" w:hAnsiTheme="minorHAnsi" w:cs="Arial"/>
          <w:sz w:val="22"/>
          <w:szCs w:val="22"/>
        </w:rPr>
        <w:t xml:space="preserve"> up </w:t>
      </w:r>
      <w:r w:rsidR="00DA0EE8" w:rsidRPr="001D52A0">
        <w:rPr>
          <w:rFonts w:asciiTheme="minorHAnsi" w:hAnsiTheme="minorHAnsi" w:cs="Arial"/>
          <w:sz w:val="22"/>
          <w:szCs w:val="22"/>
        </w:rPr>
        <w:t>two thirds</w:t>
      </w:r>
      <w:r w:rsidRPr="001D52A0">
        <w:rPr>
          <w:rFonts w:asciiTheme="minorHAnsi" w:hAnsiTheme="minorHAnsi" w:cs="Arial"/>
          <w:sz w:val="22"/>
          <w:szCs w:val="22"/>
        </w:rPr>
        <w:t xml:space="preserve"> of the </w:t>
      </w:r>
      <w:r w:rsidR="00300F02" w:rsidRPr="001D52A0">
        <w:rPr>
          <w:rFonts w:asciiTheme="minorHAnsi" w:hAnsiTheme="minorHAnsi" w:cs="Arial"/>
          <w:sz w:val="22"/>
          <w:szCs w:val="22"/>
        </w:rPr>
        <w:t>spend</w:t>
      </w:r>
      <w:r w:rsidR="001F200A" w:rsidRPr="001D52A0">
        <w:rPr>
          <w:rFonts w:asciiTheme="minorHAnsi" w:hAnsiTheme="minorHAnsi" w:cs="Arial"/>
          <w:sz w:val="22"/>
          <w:szCs w:val="22"/>
        </w:rPr>
        <w:t>ing</w:t>
      </w:r>
      <w:r w:rsidRPr="001D52A0">
        <w:rPr>
          <w:rFonts w:asciiTheme="minorHAnsi" w:hAnsiTheme="minorHAnsi" w:cs="Arial"/>
          <w:sz w:val="22"/>
          <w:szCs w:val="22"/>
        </w:rPr>
        <w:t xml:space="preserve">. </w:t>
      </w:r>
      <w:r w:rsidR="003D382D" w:rsidRPr="001D52A0">
        <w:rPr>
          <w:rFonts w:asciiTheme="minorHAnsi" w:hAnsiTheme="minorHAnsi" w:cs="Arial"/>
          <w:sz w:val="22"/>
          <w:szCs w:val="22"/>
        </w:rPr>
        <w:t>Strategically, t</w:t>
      </w:r>
      <w:r w:rsidRPr="001D52A0">
        <w:rPr>
          <w:rFonts w:asciiTheme="minorHAnsi" w:hAnsiTheme="minorHAnsi" w:cs="Arial"/>
          <w:sz w:val="22"/>
          <w:szCs w:val="22"/>
        </w:rPr>
        <w:t>his is where most of the significant saving opportunities can be found.</w:t>
      </w:r>
    </w:p>
    <w:p w14:paraId="0E4D4718" w14:textId="77777777" w:rsidR="001A15D1" w:rsidRPr="001D52A0" w:rsidRDefault="001A15D1" w:rsidP="001A15D1">
      <w:pPr>
        <w:ind w:left="360"/>
        <w:rPr>
          <w:rFonts w:asciiTheme="minorHAnsi" w:hAnsiTheme="minorHAnsi" w:cs="Arial"/>
          <w:sz w:val="22"/>
          <w:szCs w:val="22"/>
        </w:rPr>
      </w:pPr>
    </w:p>
    <w:p w14:paraId="45AD0E81" w14:textId="77777777" w:rsidR="00AE6029" w:rsidRPr="001D52A0" w:rsidRDefault="00AE6029" w:rsidP="004E4209">
      <w:pPr>
        <w:numPr>
          <w:ilvl w:val="1"/>
          <w:numId w:val="13"/>
        </w:numPr>
        <w:rPr>
          <w:rFonts w:asciiTheme="minorHAnsi" w:hAnsiTheme="minorHAnsi" w:cs="Arial"/>
          <w:sz w:val="22"/>
          <w:szCs w:val="22"/>
        </w:rPr>
      </w:pPr>
      <w:r w:rsidRPr="001D52A0">
        <w:rPr>
          <w:rFonts w:asciiTheme="minorHAnsi" w:hAnsiTheme="minorHAnsi" w:cs="Arial"/>
          <w:sz w:val="22"/>
          <w:szCs w:val="22"/>
        </w:rPr>
        <w:t xml:space="preserve">The </w:t>
      </w:r>
      <w:r w:rsidR="00DA0EE8" w:rsidRPr="001D52A0">
        <w:rPr>
          <w:rFonts w:asciiTheme="minorHAnsi" w:hAnsiTheme="minorHAnsi" w:cs="Arial"/>
          <w:sz w:val="22"/>
          <w:szCs w:val="22"/>
        </w:rPr>
        <w:t>2024/25</w:t>
      </w:r>
      <w:r w:rsidRPr="001D52A0">
        <w:rPr>
          <w:rFonts w:asciiTheme="minorHAnsi" w:hAnsiTheme="minorHAnsi" w:cs="Arial"/>
          <w:sz w:val="22"/>
          <w:szCs w:val="22"/>
        </w:rPr>
        <w:t xml:space="preserve"> WTD budget is £</w:t>
      </w:r>
      <w:r w:rsidR="00F86223" w:rsidRPr="001D52A0">
        <w:rPr>
          <w:rFonts w:asciiTheme="minorHAnsi" w:hAnsiTheme="minorHAnsi" w:cs="Arial"/>
          <w:sz w:val="22"/>
          <w:szCs w:val="22"/>
        </w:rPr>
        <w:t>5</w:t>
      </w:r>
      <w:r w:rsidR="00DA0EE8" w:rsidRPr="001D52A0">
        <w:rPr>
          <w:rFonts w:asciiTheme="minorHAnsi" w:hAnsiTheme="minorHAnsi" w:cs="Arial"/>
          <w:sz w:val="22"/>
          <w:szCs w:val="22"/>
        </w:rPr>
        <w:t>5</w:t>
      </w:r>
      <w:r w:rsidR="00F86223" w:rsidRPr="001D52A0">
        <w:rPr>
          <w:rFonts w:asciiTheme="minorHAnsi" w:hAnsiTheme="minorHAnsi" w:cs="Arial"/>
          <w:sz w:val="22"/>
          <w:szCs w:val="22"/>
        </w:rPr>
        <w:t>.</w:t>
      </w:r>
      <w:r w:rsidR="00DA0EE8" w:rsidRPr="001D52A0">
        <w:rPr>
          <w:rFonts w:asciiTheme="minorHAnsi" w:hAnsiTheme="minorHAnsi" w:cs="Arial"/>
          <w:sz w:val="22"/>
          <w:szCs w:val="22"/>
        </w:rPr>
        <w:t>1</w:t>
      </w:r>
      <w:r w:rsidRPr="001D52A0">
        <w:rPr>
          <w:rFonts w:asciiTheme="minorHAnsi" w:hAnsiTheme="minorHAnsi" w:cs="Arial"/>
          <w:sz w:val="22"/>
          <w:szCs w:val="22"/>
        </w:rPr>
        <w:t xml:space="preserve"> million</w:t>
      </w:r>
      <w:r w:rsidR="00B43597" w:rsidRPr="001D52A0">
        <w:rPr>
          <w:rFonts w:asciiTheme="minorHAnsi" w:hAnsiTheme="minorHAnsi" w:cs="Arial"/>
          <w:sz w:val="22"/>
          <w:szCs w:val="22"/>
        </w:rPr>
        <w:t>,</w:t>
      </w:r>
      <w:r w:rsidRPr="001D52A0">
        <w:rPr>
          <w:rFonts w:asciiTheme="minorHAnsi" w:hAnsiTheme="minorHAnsi" w:cs="Arial"/>
          <w:sz w:val="22"/>
          <w:szCs w:val="22"/>
        </w:rPr>
        <w:t xml:space="preserve"> </w:t>
      </w:r>
      <w:r w:rsidR="0019148B" w:rsidRPr="001D52A0">
        <w:rPr>
          <w:rFonts w:asciiTheme="minorHAnsi" w:hAnsiTheme="minorHAnsi" w:cs="Arial"/>
          <w:sz w:val="22"/>
          <w:szCs w:val="22"/>
        </w:rPr>
        <w:t>a</w:t>
      </w:r>
      <w:r w:rsidR="00F86223" w:rsidRPr="001D52A0">
        <w:rPr>
          <w:rFonts w:asciiTheme="minorHAnsi" w:hAnsiTheme="minorHAnsi" w:cs="Arial"/>
          <w:sz w:val="22"/>
          <w:szCs w:val="22"/>
        </w:rPr>
        <w:t xml:space="preserve">n increase </w:t>
      </w:r>
      <w:r w:rsidR="0019148B" w:rsidRPr="001D52A0">
        <w:rPr>
          <w:rFonts w:asciiTheme="minorHAnsi" w:hAnsiTheme="minorHAnsi" w:cs="Arial"/>
          <w:sz w:val="22"/>
          <w:szCs w:val="22"/>
        </w:rPr>
        <w:t xml:space="preserve">of </w:t>
      </w:r>
      <w:r w:rsidRPr="001D52A0">
        <w:rPr>
          <w:rFonts w:asciiTheme="minorHAnsi" w:hAnsiTheme="minorHAnsi" w:cs="Arial"/>
          <w:sz w:val="22"/>
          <w:szCs w:val="22"/>
        </w:rPr>
        <w:t>£</w:t>
      </w:r>
      <w:r w:rsidR="00DA0EE8" w:rsidRPr="001D52A0">
        <w:rPr>
          <w:rFonts w:asciiTheme="minorHAnsi" w:hAnsiTheme="minorHAnsi" w:cs="Arial"/>
          <w:sz w:val="22"/>
          <w:szCs w:val="22"/>
        </w:rPr>
        <w:t>3.6</w:t>
      </w:r>
      <w:r w:rsidR="00422D14" w:rsidRPr="001D52A0">
        <w:rPr>
          <w:rFonts w:asciiTheme="minorHAnsi" w:hAnsiTheme="minorHAnsi" w:cs="Arial"/>
          <w:sz w:val="22"/>
          <w:szCs w:val="22"/>
        </w:rPr>
        <w:t xml:space="preserve"> </w:t>
      </w:r>
      <w:r w:rsidRPr="001D52A0">
        <w:rPr>
          <w:rFonts w:asciiTheme="minorHAnsi" w:hAnsiTheme="minorHAnsi" w:cs="Arial"/>
          <w:sz w:val="22"/>
          <w:szCs w:val="22"/>
        </w:rPr>
        <w:t>m</w:t>
      </w:r>
      <w:r w:rsidR="00422D14" w:rsidRPr="001D52A0">
        <w:rPr>
          <w:rFonts w:asciiTheme="minorHAnsi" w:hAnsiTheme="minorHAnsi" w:cs="Arial"/>
          <w:sz w:val="22"/>
          <w:szCs w:val="22"/>
        </w:rPr>
        <w:t>illion</w:t>
      </w:r>
      <w:r w:rsidR="004037FF" w:rsidRPr="001D52A0">
        <w:rPr>
          <w:rFonts w:asciiTheme="minorHAnsi" w:hAnsiTheme="minorHAnsi" w:cs="Arial"/>
          <w:sz w:val="22"/>
          <w:szCs w:val="22"/>
        </w:rPr>
        <w:t>.</w:t>
      </w:r>
    </w:p>
    <w:p w14:paraId="1B1239D7" w14:textId="766F9683" w:rsidR="00213FDB" w:rsidRPr="001D52A0" w:rsidRDefault="00213FDB" w:rsidP="004E4209">
      <w:pPr>
        <w:numPr>
          <w:ilvl w:val="1"/>
          <w:numId w:val="13"/>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 xml:space="preserve">The residual waste budget is the key driver </w:t>
      </w:r>
      <w:r w:rsidR="004037FF" w:rsidRPr="001D52A0">
        <w:rPr>
          <w:rFonts w:asciiTheme="minorHAnsi" w:hAnsiTheme="minorHAnsi" w:cs="Arial"/>
          <w:sz w:val="22"/>
          <w:szCs w:val="22"/>
        </w:rPr>
        <w:t xml:space="preserve">and represents </w:t>
      </w:r>
      <w:r w:rsidR="0019148B" w:rsidRPr="001D52A0">
        <w:rPr>
          <w:rFonts w:asciiTheme="minorHAnsi" w:hAnsiTheme="minorHAnsi" w:cs="Arial"/>
          <w:sz w:val="22"/>
          <w:szCs w:val="22"/>
        </w:rPr>
        <w:t>8</w:t>
      </w:r>
      <w:r w:rsidR="005D2CE9" w:rsidRPr="001D52A0">
        <w:rPr>
          <w:rFonts w:asciiTheme="minorHAnsi" w:hAnsiTheme="minorHAnsi" w:cs="Arial"/>
          <w:sz w:val="22"/>
          <w:szCs w:val="22"/>
        </w:rPr>
        <w:t>8</w:t>
      </w:r>
      <w:r w:rsidR="004037FF" w:rsidRPr="001D52A0">
        <w:rPr>
          <w:rFonts w:asciiTheme="minorHAnsi" w:hAnsiTheme="minorHAnsi" w:cs="Arial"/>
          <w:sz w:val="22"/>
          <w:szCs w:val="22"/>
        </w:rPr>
        <w:t>% of the WTD costs</w:t>
      </w:r>
      <w:r w:rsidR="0052215B" w:rsidRPr="001D52A0">
        <w:rPr>
          <w:rFonts w:asciiTheme="minorHAnsi" w:hAnsiTheme="minorHAnsi" w:cs="Arial"/>
          <w:sz w:val="22"/>
          <w:szCs w:val="22"/>
        </w:rPr>
        <w:t xml:space="preserve"> (or </w:t>
      </w:r>
      <w:r w:rsidR="00E954FD" w:rsidRPr="001D52A0">
        <w:rPr>
          <w:rFonts w:asciiTheme="minorHAnsi" w:hAnsiTheme="minorHAnsi" w:cs="Arial"/>
          <w:sz w:val="22"/>
          <w:szCs w:val="22"/>
        </w:rPr>
        <w:t>58</w:t>
      </w:r>
      <w:r w:rsidR="0019148B" w:rsidRPr="001D52A0">
        <w:rPr>
          <w:rFonts w:asciiTheme="minorHAnsi" w:hAnsiTheme="minorHAnsi" w:cs="Arial"/>
          <w:sz w:val="22"/>
          <w:szCs w:val="22"/>
        </w:rPr>
        <w:t>%</w:t>
      </w:r>
      <w:r w:rsidR="0052215B" w:rsidRPr="001D52A0">
        <w:rPr>
          <w:rFonts w:asciiTheme="minorHAnsi" w:hAnsiTheme="minorHAnsi" w:cs="Arial"/>
          <w:sz w:val="22"/>
          <w:szCs w:val="22"/>
        </w:rPr>
        <w:t xml:space="preserve"> of </w:t>
      </w:r>
      <w:r w:rsidR="0052215B" w:rsidRPr="001D52A0">
        <w:rPr>
          <w:rFonts w:asciiTheme="minorHAnsi" w:hAnsiTheme="minorHAnsi" w:cs="Arial"/>
          <w:sz w:val="22"/>
          <w:szCs w:val="22"/>
          <w:u w:val="single"/>
        </w:rPr>
        <w:t>all</w:t>
      </w:r>
      <w:r w:rsidR="0052215B" w:rsidRPr="001D52A0">
        <w:rPr>
          <w:rFonts w:asciiTheme="minorHAnsi" w:hAnsiTheme="minorHAnsi" w:cs="Arial"/>
          <w:sz w:val="22"/>
          <w:szCs w:val="22"/>
        </w:rPr>
        <w:t xml:space="preserve"> Authority costs</w:t>
      </w:r>
      <w:r w:rsidR="003D382D" w:rsidRPr="001D52A0">
        <w:rPr>
          <w:rFonts w:asciiTheme="minorHAnsi" w:hAnsiTheme="minorHAnsi" w:cs="Arial"/>
          <w:sz w:val="22"/>
          <w:szCs w:val="22"/>
        </w:rPr>
        <w:t xml:space="preserve"> – hence the strategic significance</w:t>
      </w:r>
      <w:r w:rsidR="0052215B" w:rsidRPr="001D52A0">
        <w:rPr>
          <w:rFonts w:asciiTheme="minorHAnsi" w:hAnsiTheme="minorHAnsi" w:cs="Arial"/>
          <w:sz w:val="22"/>
          <w:szCs w:val="22"/>
        </w:rPr>
        <w:t>)</w:t>
      </w:r>
      <w:r w:rsidR="004037FF" w:rsidRPr="001D52A0">
        <w:rPr>
          <w:rFonts w:asciiTheme="minorHAnsi" w:hAnsiTheme="minorHAnsi" w:cs="Arial"/>
          <w:sz w:val="22"/>
          <w:szCs w:val="22"/>
        </w:rPr>
        <w:t>. F</w:t>
      </w:r>
      <w:r w:rsidR="00F924AF" w:rsidRPr="001D52A0">
        <w:rPr>
          <w:rFonts w:asciiTheme="minorHAnsi" w:hAnsiTheme="minorHAnsi" w:cs="Arial"/>
          <w:sz w:val="22"/>
          <w:szCs w:val="22"/>
        </w:rPr>
        <w:t xml:space="preserve">or </w:t>
      </w:r>
      <w:r w:rsidR="005D2CE9" w:rsidRPr="001D52A0">
        <w:rPr>
          <w:rFonts w:asciiTheme="minorHAnsi" w:hAnsiTheme="minorHAnsi" w:cs="Arial"/>
          <w:sz w:val="22"/>
          <w:szCs w:val="22"/>
        </w:rPr>
        <w:t>2024/25</w:t>
      </w:r>
      <w:r w:rsidRPr="001D52A0">
        <w:rPr>
          <w:rFonts w:asciiTheme="minorHAnsi" w:hAnsiTheme="minorHAnsi" w:cs="Arial"/>
          <w:sz w:val="22"/>
          <w:szCs w:val="22"/>
        </w:rPr>
        <w:t xml:space="preserve"> </w:t>
      </w:r>
      <w:r w:rsidR="004037FF" w:rsidRPr="001D52A0">
        <w:rPr>
          <w:rFonts w:asciiTheme="minorHAnsi" w:hAnsiTheme="minorHAnsi" w:cs="Arial"/>
          <w:sz w:val="22"/>
          <w:szCs w:val="22"/>
        </w:rPr>
        <w:t xml:space="preserve">this </w:t>
      </w:r>
      <w:r w:rsidRPr="001D52A0">
        <w:rPr>
          <w:rFonts w:asciiTheme="minorHAnsi" w:hAnsiTheme="minorHAnsi" w:cs="Arial"/>
          <w:sz w:val="22"/>
          <w:szCs w:val="22"/>
        </w:rPr>
        <w:t xml:space="preserve">is based on boroughs’ forecasts of residual </w:t>
      </w:r>
      <w:r w:rsidR="0052215B" w:rsidRPr="001D52A0">
        <w:rPr>
          <w:rFonts w:asciiTheme="minorHAnsi" w:hAnsiTheme="minorHAnsi" w:cs="Arial"/>
          <w:sz w:val="22"/>
          <w:szCs w:val="22"/>
        </w:rPr>
        <w:t>waste</w:t>
      </w:r>
      <w:r w:rsidR="001E6255" w:rsidRPr="001D52A0">
        <w:rPr>
          <w:rFonts w:asciiTheme="minorHAnsi" w:hAnsiTheme="minorHAnsi" w:cs="Arial"/>
          <w:sz w:val="22"/>
          <w:szCs w:val="22"/>
        </w:rPr>
        <w:t xml:space="preserve"> which are </w:t>
      </w:r>
      <w:r w:rsidR="005D2CE9" w:rsidRPr="001D52A0">
        <w:rPr>
          <w:rFonts w:asciiTheme="minorHAnsi" w:hAnsiTheme="minorHAnsi" w:cs="Arial"/>
          <w:sz w:val="22"/>
          <w:szCs w:val="22"/>
        </w:rPr>
        <w:t>0.2</w:t>
      </w:r>
      <w:r w:rsidR="00451717" w:rsidRPr="001D52A0">
        <w:rPr>
          <w:rFonts w:asciiTheme="minorHAnsi" w:hAnsiTheme="minorHAnsi" w:cs="Arial"/>
          <w:sz w:val="22"/>
          <w:szCs w:val="22"/>
        </w:rPr>
        <w:t>%</w:t>
      </w:r>
      <w:r w:rsidRPr="001D52A0">
        <w:rPr>
          <w:rFonts w:asciiTheme="minorHAnsi" w:hAnsiTheme="minorHAnsi" w:cs="Arial"/>
          <w:sz w:val="22"/>
          <w:szCs w:val="22"/>
        </w:rPr>
        <w:t xml:space="preserve"> </w:t>
      </w:r>
      <w:r w:rsidR="0019148B" w:rsidRPr="001D52A0">
        <w:rPr>
          <w:rFonts w:asciiTheme="minorHAnsi" w:hAnsiTheme="minorHAnsi" w:cs="Arial"/>
          <w:sz w:val="22"/>
          <w:szCs w:val="22"/>
        </w:rPr>
        <w:t>lower</w:t>
      </w:r>
      <w:r w:rsidRPr="001D52A0">
        <w:rPr>
          <w:rFonts w:asciiTheme="minorHAnsi" w:hAnsiTheme="minorHAnsi" w:cs="Arial"/>
          <w:sz w:val="22"/>
          <w:szCs w:val="22"/>
        </w:rPr>
        <w:t xml:space="preserve"> than </w:t>
      </w:r>
      <w:r w:rsidR="003D382D" w:rsidRPr="001D52A0">
        <w:rPr>
          <w:rFonts w:asciiTheme="minorHAnsi" w:hAnsiTheme="minorHAnsi" w:cs="Arial"/>
          <w:sz w:val="22"/>
          <w:szCs w:val="22"/>
        </w:rPr>
        <w:t xml:space="preserve">the </w:t>
      </w:r>
      <w:r w:rsidR="005D2CE9" w:rsidRPr="001D52A0">
        <w:rPr>
          <w:rFonts w:asciiTheme="minorHAnsi" w:hAnsiTheme="minorHAnsi" w:cs="Arial"/>
          <w:sz w:val="22"/>
          <w:szCs w:val="22"/>
        </w:rPr>
        <w:t>2023/24</w:t>
      </w:r>
      <w:r w:rsidR="00300F02" w:rsidRPr="001D52A0">
        <w:rPr>
          <w:rFonts w:asciiTheme="minorHAnsi" w:hAnsiTheme="minorHAnsi" w:cs="Arial"/>
          <w:sz w:val="22"/>
          <w:szCs w:val="22"/>
        </w:rPr>
        <w:t xml:space="preserve"> </w:t>
      </w:r>
      <w:r w:rsidR="003D382D" w:rsidRPr="001D52A0">
        <w:rPr>
          <w:rFonts w:asciiTheme="minorHAnsi" w:hAnsiTheme="minorHAnsi" w:cs="Arial"/>
          <w:sz w:val="22"/>
          <w:szCs w:val="22"/>
        </w:rPr>
        <w:t xml:space="preserve">budget </w:t>
      </w:r>
      <w:r w:rsidRPr="001D52A0">
        <w:rPr>
          <w:rFonts w:asciiTheme="minorHAnsi" w:hAnsiTheme="minorHAnsi" w:cs="Arial"/>
          <w:sz w:val="22"/>
          <w:szCs w:val="22"/>
        </w:rPr>
        <w:t>and reflect</w:t>
      </w:r>
      <w:r w:rsidR="00F924AF" w:rsidRPr="001D52A0">
        <w:rPr>
          <w:rFonts w:asciiTheme="minorHAnsi" w:hAnsiTheme="minorHAnsi" w:cs="Arial"/>
          <w:sz w:val="22"/>
          <w:szCs w:val="22"/>
        </w:rPr>
        <w:t>ing</w:t>
      </w:r>
      <w:r w:rsidRPr="001D52A0">
        <w:rPr>
          <w:rFonts w:asciiTheme="minorHAnsi" w:hAnsiTheme="minorHAnsi" w:cs="Arial"/>
          <w:sz w:val="22"/>
          <w:szCs w:val="22"/>
        </w:rPr>
        <w:t xml:space="preserve"> the current </w:t>
      </w:r>
      <w:r w:rsidR="00F924AF" w:rsidRPr="001D52A0">
        <w:rPr>
          <w:rFonts w:asciiTheme="minorHAnsi" w:hAnsiTheme="minorHAnsi" w:cs="Arial"/>
          <w:sz w:val="22"/>
          <w:szCs w:val="22"/>
        </w:rPr>
        <w:t>level of activity</w:t>
      </w:r>
      <w:r w:rsidRPr="001D52A0">
        <w:rPr>
          <w:rFonts w:asciiTheme="minorHAnsi" w:hAnsiTheme="minorHAnsi" w:cs="Arial"/>
          <w:sz w:val="22"/>
          <w:szCs w:val="22"/>
        </w:rPr>
        <w:t xml:space="preserve">. </w:t>
      </w:r>
    </w:p>
    <w:p w14:paraId="2541B1D1" w14:textId="31901A71" w:rsidR="00B04AA1" w:rsidRPr="001D52A0" w:rsidRDefault="00743886" w:rsidP="004E4209">
      <w:pPr>
        <w:numPr>
          <w:ilvl w:val="1"/>
          <w:numId w:val="13"/>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Looking at the complete picture, t</w:t>
      </w:r>
      <w:r w:rsidR="00B04AA1" w:rsidRPr="001D52A0">
        <w:rPr>
          <w:rFonts w:asciiTheme="minorHAnsi" w:hAnsiTheme="minorHAnsi" w:cs="Arial"/>
          <w:sz w:val="22"/>
          <w:szCs w:val="22"/>
        </w:rPr>
        <w:t xml:space="preserve">he </w:t>
      </w:r>
      <w:r w:rsidR="005D2CE9" w:rsidRPr="001D52A0">
        <w:rPr>
          <w:rFonts w:asciiTheme="minorHAnsi" w:hAnsiTheme="minorHAnsi" w:cs="Arial"/>
          <w:sz w:val="22"/>
          <w:szCs w:val="22"/>
        </w:rPr>
        <w:t>2024/25</w:t>
      </w:r>
      <w:r w:rsidR="00B04AA1" w:rsidRPr="001D52A0">
        <w:rPr>
          <w:rFonts w:asciiTheme="minorHAnsi" w:hAnsiTheme="minorHAnsi" w:cs="Arial"/>
          <w:sz w:val="22"/>
          <w:szCs w:val="22"/>
        </w:rPr>
        <w:t xml:space="preserve"> budgeted tonnage is made up of the following materials:</w:t>
      </w:r>
    </w:p>
    <w:tbl>
      <w:tblPr>
        <w:tblStyle w:val="TableGrid"/>
        <w:tblW w:w="0" w:type="auto"/>
        <w:tblLook w:val="04A0" w:firstRow="1" w:lastRow="0" w:firstColumn="1" w:lastColumn="0" w:noHBand="0" w:noVBand="1"/>
      </w:tblPr>
      <w:tblGrid>
        <w:gridCol w:w="2380"/>
        <w:gridCol w:w="2380"/>
        <w:gridCol w:w="2380"/>
        <w:gridCol w:w="2380"/>
      </w:tblGrid>
      <w:tr w:rsidR="004E0CD2" w:rsidRPr="001D52A0" w14:paraId="61160BC6" w14:textId="77777777" w:rsidTr="004E0CD2">
        <w:trPr>
          <w:trHeight w:val="600"/>
        </w:trPr>
        <w:tc>
          <w:tcPr>
            <w:tcW w:w="2380" w:type="dxa"/>
            <w:hideMark/>
          </w:tcPr>
          <w:p w14:paraId="502FA951" w14:textId="77777777" w:rsidR="004E0CD2" w:rsidRPr="001D52A0" w:rsidRDefault="004E0CD2" w:rsidP="004E0CD2">
            <w:pPr>
              <w:autoSpaceDE w:val="0"/>
              <w:autoSpaceDN w:val="0"/>
              <w:adjustRightInd w:val="0"/>
              <w:ind w:left="360"/>
              <w:jc w:val="both"/>
              <w:rPr>
                <w:rFonts w:asciiTheme="minorHAnsi" w:hAnsiTheme="minorHAnsi" w:cs="Arial"/>
                <w:b/>
                <w:bCs/>
                <w:sz w:val="22"/>
                <w:szCs w:val="22"/>
              </w:rPr>
            </w:pPr>
            <w:r w:rsidRPr="001D52A0">
              <w:rPr>
                <w:rFonts w:asciiTheme="minorHAnsi" w:hAnsiTheme="minorHAnsi" w:cs="Arial"/>
                <w:b/>
                <w:bCs/>
                <w:sz w:val="22"/>
                <w:szCs w:val="22"/>
              </w:rPr>
              <w:t>Material</w:t>
            </w:r>
          </w:p>
        </w:tc>
        <w:tc>
          <w:tcPr>
            <w:tcW w:w="2380" w:type="dxa"/>
            <w:hideMark/>
          </w:tcPr>
          <w:p w14:paraId="4F7F5E25" w14:textId="77777777" w:rsidR="004E0CD2" w:rsidRPr="001D52A0" w:rsidRDefault="004E0CD2" w:rsidP="004E0CD2">
            <w:pPr>
              <w:autoSpaceDE w:val="0"/>
              <w:autoSpaceDN w:val="0"/>
              <w:adjustRightInd w:val="0"/>
              <w:ind w:left="360"/>
              <w:jc w:val="center"/>
              <w:rPr>
                <w:rFonts w:asciiTheme="minorHAnsi" w:hAnsiTheme="minorHAnsi" w:cs="Arial"/>
                <w:b/>
                <w:bCs/>
                <w:sz w:val="22"/>
                <w:szCs w:val="22"/>
              </w:rPr>
            </w:pPr>
            <w:r w:rsidRPr="001D52A0">
              <w:rPr>
                <w:rFonts w:asciiTheme="minorHAnsi" w:hAnsiTheme="minorHAnsi" w:cs="Arial"/>
                <w:b/>
                <w:bCs/>
                <w:sz w:val="22"/>
                <w:szCs w:val="22"/>
              </w:rPr>
              <w:t>2023/24 Budget Tonnes</w:t>
            </w:r>
          </w:p>
        </w:tc>
        <w:tc>
          <w:tcPr>
            <w:tcW w:w="2380" w:type="dxa"/>
            <w:hideMark/>
          </w:tcPr>
          <w:p w14:paraId="644B837C" w14:textId="77777777" w:rsidR="004E0CD2" w:rsidRPr="001D52A0" w:rsidRDefault="004E0CD2" w:rsidP="004E0CD2">
            <w:pPr>
              <w:autoSpaceDE w:val="0"/>
              <w:autoSpaceDN w:val="0"/>
              <w:adjustRightInd w:val="0"/>
              <w:ind w:left="360"/>
              <w:jc w:val="center"/>
              <w:rPr>
                <w:rFonts w:asciiTheme="minorHAnsi" w:hAnsiTheme="minorHAnsi" w:cs="Arial"/>
                <w:b/>
                <w:bCs/>
                <w:sz w:val="22"/>
                <w:szCs w:val="22"/>
              </w:rPr>
            </w:pPr>
            <w:r w:rsidRPr="001D52A0">
              <w:rPr>
                <w:rFonts w:asciiTheme="minorHAnsi" w:hAnsiTheme="minorHAnsi" w:cs="Arial"/>
                <w:b/>
                <w:bCs/>
                <w:sz w:val="22"/>
                <w:szCs w:val="22"/>
              </w:rPr>
              <w:t>2024/25 Budget Tonnes</w:t>
            </w:r>
          </w:p>
        </w:tc>
        <w:tc>
          <w:tcPr>
            <w:tcW w:w="2380" w:type="dxa"/>
            <w:hideMark/>
          </w:tcPr>
          <w:p w14:paraId="40002847" w14:textId="77777777" w:rsidR="004E0CD2" w:rsidRPr="001D52A0" w:rsidRDefault="004E0CD2" w:rsidP="004E0CD2">
            <w:pPr>
              <w:autoSpaceDE w:val="0"/>
              <w:autoSpaceDN w:val="0"/>
              <w:adjustRightInd w:val="0"/>
              <w:ind w:left="360"/>
              <w:jc w:val="center"/>
              <w:rPr>
                <w:rFonts w:asciiTheme="minorHAnsi" w:hAnsiTheme="minorHAnsi" w:cs="Arial"/>
                <w:b/>
                <w:bCs/>
                <w:sz w:val="22"/>
                <w:szCs w:val="22"/>
              </w:rPr>
            </w:pPr>
            <w:r w:rsidRPr="001D52A0">
              <w:rPr>
                <w:rFonts w:asciiTheme="minorHAnsi" w:hAnsiTheme="minorHAnsi" w:cs="Arial"/>
                <w:b/>
                <w:bCs/>
                <w:sz w:val="22"/>
                <w:szCs w:val="22"/>
              </w:rPr>
              <w:t>Change</w:t>
            </w:r>
          </w:p>
        </w:tc>
      </w:tr>
      <w:tr w:rsidR="004E0CD2" w:rsidRPr="001D52A0" w14:paraId="11BFA951" w14:textId="77777777" w:rsidTr="004E0CD2">
        <w:trPr>
          <w:trHeight w:val="300"/>
        </w:trPr>
        <w:tc>
          <w:tcPr>
            <w:tcW w:w="2380" w:type="dxa"/>
            <w:hideMark/>
          </w:tcPr>
          <w:p w14:paraId="25CE9EEC" w14:textId="77777777" w:rsidR="004E0CD2" w:rsidRPr="001D52A0" w:rsidRDefault="004E0CD2" w:rsidP="004E0CD2">
            <w:pPr>
              <w:autoSpaceDE w:val="0"/>
              <w:autoSpaceDN w:val="0"/>
              <w:adjustRightInd w:val="0"/>
              <w:ind w:left="360"/>
              <w:jc w:val="both"/>
              <w:rPr>
                <w:rFonts w:asciiTheme="minorHAnsi" w:hAnsiTheme="minorHAnsi" w:cs="Arial"/>
                <w:sz w:val="22"/>
                <w:szCs w:val="22"/>
              </w:rPr>
            </w:pPr>
            <w:r w:rsidRPr="001D52A0">
              <w:rPr>
                <w:rFonts w:asciiTheme="minorHAnsi" w:hAnsiTheme="minorHAnsi" w:cs="Arial"/>
                <w:sz w:val="22"/>
                <w:szCs w:val="22"/>
              </w:rPr>
              <w:t>Residual</w:t>
            </w:r>
          </w:p>
        </w:tc>
        <w:tc>
          <w:tcPr>
            <w:tcW w:w="2380" w:type="dxa"/>
            <w:hideMark/>
          </w:tcPr>
          <w:p w14:paraId="02B37E1C" w14:textId="77777777" w:rsidR="004E0CD2" w:rsidRPr="001D52A0" w:rsidRDefault="004E0CD2" w:rsidP="004E0CD2">
            <w:pPr>
              <w:autoSpaceDE w:val="0"/>
              <w:autoSpaceDN w:val="0"/>
              <w:adjustRightInd w:val="0"/>
              <w:ind w:left="360"/>
              <w:jc w:val="center"/>
              <w:rPr>
                <w:rFonts w:asciiTheme="minorHAnsi" w:hAnsiTheme="minorHAnsi" w:cs="Arial"/>
                <w:sz w:val="22"/>
                <w:szCs w:val="22"/>
              </w:rPr>
            </w:pPr>
            <w:r w:rsidRPr="001D52A0">
              <w:rPr>
                <w:rFonts w:asciiTheme="minorHAnsi" w:hAnsiTheme="minorHAnsi" w:cs="Arial"/>
                <w:sz w:val="22"/>
                <w:szCs w:val="22"/>
              </w:rPr>
              <w:t>417,757</w:t>
            </w:r>
          </w:p>
        </w:tc>
        <w:tc>
          <w:tcPr>
            <w:tcW w:w="2380" w:type="dxa"/>
            <w:hideMark/>
          </w:tcPr>
          <w:p w14:paraId="3AF99864" w14:textId="77777777" w:rsidR="004E0CD2" w:rsidRPr="001D52A0" w:rsidRDefault="004E0CD2" w:rsidP="004E0CD2">
            <w:pPr>
              <w:autoSpaceDE w:val="0"/>
              <w:autoSpaceDN w:val="0"/>
              <w:adjustRightInd w:val="0"/>
              <w:ind w:left="360"/>
              <w:jc w:val="center"/>
              <w:rPr>
                <w:rFonts w:asciiTheme="minorHAnsi" w:hAnsiTheme="minorHAnsi" w:cs="Arial"/>
                <w:sz w:val="22"/>
                <w:szCs w:val="22"/>
              </w:rPr>
            </w:pPr>
            <w:r w:rsidRPr="001D52A0">
              <w:rPr>
                <w:rFonts w:asciiTheme="minorHAnsi" w:hAnsiTheme="minorHAnsi" w:cs="Arial"/>
                <w:sz w:val="22"/>
                <w:szCs w:val="22"/>
              </w:rPr>
              <w:t>416,951</w:t>
            </w:r>
          </w:p>
        </w:tc>
        <w:tc>
          <w:tcPr>
            <w:tcW w:w="2380" w:type="dxa"/>
            <w:hideMark/>
          </w:tcPr>
          <w:p w14:paraId="14581238" w14:textId="77777777" w:rsidR="004E0CD2" w:rsidRPr="001D52A0" w:rsidRDefault="004E0CD2" w:rsidP="004E0CD2">
            <w:pPr>
              <w:autoSpaceDE w:val="0"/>
              <w:autoSpaceDN w:val="0"/>
              <w:adjustRightInd w:val="0"/>
              <w:ind w:left="360"/>
              <w:jc w:val="center"/>
              <w:rPr>
                <w:rFonts w:asciiTheme="minorHAnsi" w:hAnsiTheme="minorHAnsi" w:cs="Arial"/>
                <w:sz w:val="22"/>
                <w:szCs w:val="22"/>
              </w:rPr>
            </w:pPr>
            <w:r w:rsidRPr="001D52A0">
              <w:rPr>
                <w:rFonts w:asciiTheme="minorHAnsi" w:hAnsiTheme="minorHAnsi" w:cs="Arial"/>
                <w:sz w:val="22"/>
                <w:szCs w:val="22"/>
              </w:rPr>
              <w:t>(806)</w:t>
            </w:r>
          </w:p>
        </w:tc>
      </w:tr>
      <w:tr w:rsidR="004E0CD2" w:rsidRPr="001D52A0" w14:paraId="1F025B40" w14:textId="77777777" w:rsidTr="004E0CD2">
        <w:trPr>
          <w:trHeight w:val="300"/>
        </w:trPr>
        <w:tc>
          <w:tcPr>
            <w:tcW w:w="2380" w:type="dxa"/>
            <w:hideMark/>
          </w:tcPr>
          <w:p w14:paraId="00CF3A08" w14:textId="77777777" w:rsidR="004E0CD2" w:rsidRPr="001D52A0" w:rsidRDefault="004E0CD2" w:rsidP="004E0CD2">
            <w:pPr>
              <w:autoSpaceDE w:val="0"/>
              <w:autoSpaceDN w:val="0"/>
              <w:adjustRightInd w:val="0"/>
              <w:ind w:left="360"/>
              <w:jc w:val="both"/>
              <w:rPr>
                <w:rFonts w:asciiTheme="minorHAnsi" w:hAnsiTheme="minorHAnsi" w:cs="Arial"/>
                <w:sz w:val="22"/>
                <w:szCs w:val="22"/>
              </w:rPr>
            </w:pPr>
            <w:r w:rsidRPr="001D52A0">
              <w:rPr>
                <w:rFonts w:asciiTheme="minorHAnsi" w:hAnsiTheme="minorHAnsi" w:cs="Arial"/>
                <w:sz w:val="22"/>
                <w:szCs w:val="22"/>
              </w:rPr>
              <w:lastRenderedPageBreak/>
              <w:t>Green</w:t>
            </w:r>
          </w:p>
        </w:tc>
        <w:tc>
          <w:tcPr>
            <w:tcW w:w="2380" w:type="dxa"/>
            <w:hideMark/>
          </w:tcPr>
          <w:p w14:paraId="28F201D3" w14:textId="77777777" w:rsidR="004E0CD2" w:rsidRPr="001D52A0" w:rsidRDefault="004E0CD2" w:rsidP="004E0CD2">
            <w:pPr>
              <w:autoSpaceDE w:val="0"/>
              <w:autoSpaceDN w:val="0"/>
              <w:adjustRightInd w:val="0"/>
              <w:ind w:left="360"/>
              <w:jc w:val="center"/>
              <w:rPr>
                <w:rFonts w:asciiTheme="minorHAnsi" w:hAnsiTheme="minorHAnsi" w:cs="Arial"/>
                <w:sz w:val="22"/>
                <w:szCs w:val="22"/>
              </w:rPr>
            </w:pPr>
            <w:r w:rsidRPr="001D52A0">
              <w:rPr>
                <w:rFonts w:asciiTheme="minorHAnsi" w:hAnsiTheme="minorHAnsi" w:cs="Arial"/>
                <w:sz w:val="22"/>
                <w:szCs w:val="22"/>
              </w:rPr>
              <w:t>47,321</w:t>
            </w:r>
          </w:p>
        </w:tc>
        <w:tc>
          <w:tcPr>
            <w:tcW w:w="2380" w:type="dxa"/>
            <w:hideMark/>
          </w:tcPr>
          <w:p w14:paraId="673CC8FA" w14:textId="77777777" w:rsidR="004E0CD2" w:rsidRPr="001D52A0" w:rsidRDefault="004E0CD2" w:rsidP="004E0CD2">
            <w:pPr>
              <w:autoSpaceDE w:val="0"/>
              <w:autoSpaceDN w:val="0"/>
              <w:adjustRightInd w:val="0"/>
              <w:ind w:left="360"/>
              <w:jc w:val="center"/>
              <w:rPr>
                <w:rFonts w:asciiTheme="minorHAnsi" w:hAnsiTheme="minorHAnsi" w:cs="Arial"/>
                <w:sz w:val="22"/>
                <w:szCs w:val="22"/>
              </w:rPr>
            </w:pPr>
            <w:r w:rsidRPr="001D52A0">
              <w:rPr>
                <w:rFonts w:asciiTheme="minorHAnsi" w:hAnsiTheme="minorHAnsi" w:cs="Arial"/>
                <w:sz w:val="22"/>
                <w:szCs w:val="22"/>
              </w:rPr>
              <w:t>55,243</w:t>
            </w:r>
          </w:p>
        </w:tc>
        <w:tc>
          <w:tcPr>
            <w:tcW w:w="2380" w:type="dxa"/>
            <w:hideMark/>
          </w:tcPr>
          <w:p w14:paraId="21F7158C" w14:textId="77777777" w:rsidR="004E0CD2" w:rsidRPr="001D52A0" w:rsidRDefault="004E0CD2" w:rsidP="004E0CD2">
            <w:pPr>
              <w:autoSpaceDE w:val="0"/>
              <w:autoSpaceDN w:val="0"/>
              <w:adjustRightInd w:val="0"/>
              <w:ind w:left="360"/>
              <w:jc w:val="center"/>
              <w:rPr>
                <w:rFonts w:asciiTheme="minorHAnsi" w:hAnsiTheme="minorHAnsi" w:cs="Arial"/>
                <w:sz w:val="22"/>
                <w:szCs w:val="22"/>
              </w:rPr>
            </w:pPr>
            <w:r w:rsidRPr="001D52A0">
              <w:rPr>
                <w:rFonts w:asciiTheme="minorHAnsi" w:hAnsiTheme="minorHAnsi" w:cs="Arial"/>
                <w:sz w:val="22"/>
                <w:szCs w:val="22"/>
              </w:rPr>
              <w:t>7,922</w:t>
            </w:r>
          </w:p>
        </w:tc>
      </w:tr>
      <w:tr w:rsidR="004E0CD2" w:rsidRPr="001D52A0" w14:paraId="7EBA1DBE" w14:textId="77777777" w:rsidTr="004E0CD2">
        <w:trPr>
          <w:trHeight w:val="300"/>
        </w:trPr>
        <w:tc>
          <w:tcPr>
            <w:tcW w:w="2380" w:type="dxa"/>
            <w:hideMark/>
          </w:tcPr>
          <w:p w14:paraId="3873735A" w14:textId="77777777" w:rsidR="004E0CD2" w:rsidRPr="001D52A0" w:rsidRDefault="004E0CD2" w:rsidP="004E0CD2">
            <w:pPr>
              <w:autoSpaceDE w:val="0"/>
              <w:autoSpaceDN w:val="0"/>
              <w:adjustRightInd w:val="0"/>
              <w:ind w:left="360"/>
              <w:jc w:val="both"/>
              <w:rPr>
                <w:rFonts w:asciiTheme="minorHAnsi" w:hAnsiTheme="minorHAnsi" w:cs="Arial"/>
                <w:sz w:val="22"/>
                <w:szCs w:val="22"/>
              </w:rPr>
            </w:pPr>
            <w:r w:rsidRPr="001D52A0">
              <w:rPr>
                <w:rFonts w:asciiTheme="minorHAnsi" w:hAnsiTheme="minorHAnsi" w:cs="Arial"/>
                <w:sz w:val="22"/>
                <w:szCs w:val="22"/>
              </w:rPr>
              <w:t>Wood</w:t>
            </w:r>
          </w:p>
        </w:tc>
        <w:tc>
          <w:tcPr>
            <w:tcW w:w="2380" w:type="dxa"/>
            <w:hideMark/>
          </w:tcPr>
          <w:p w14:paraId="401D1A03" w14:textId="77777777" w:rsidR="004E0CD2" w:rsidRPr="001D52A0" w:rsidRDefault="004E0CD2" w:rsidP="004E0CD2">
            <w:pPr>
              <w:autoSpaceDE w:val="0"/>
              <w:autoSpaceDN w:val="0"/>
              <w:adjustRightInd w:val="0"/>
              <w:ind w:left="360"/>
              <w:jc w:val="center"/>
              <w:rPr>
                <w:rFonts w:asciiTheme="minorHAnsi" w:hAnsiTheme="minorHAnsi" w:cs="Arial"/>
                <w:sz w:val="22"/>
                <w:szCs w:val="22"/>
              </w:rPr>
            </w:pPr>
            <w:r w:rsidRPr="001D52A0">
              <w:rPr>
                <w:rFonts w:asciiTheme="minorHAnsi" w:hAnsiTheme="minorHAnsi" w:cs="Arial"/>
                <w:sz w:val="22"/>
                <w:szCs w:val="22"/>
              </w:rPr>
              <w:t>18,945</w:t>
            </w:r>
          </w:p>
        </w:tc>
        <w:tc>
          <w:tcPr>
            <w:tcW w:w="2380" w:type="dxa"/>
            <w:hideMark/>
          </w:tcPr>
          <w:p w14:paraId="377BC885" w14:textId="77777777" w:rsidR="004E0CD2" w:rsidRPr="001D52A0" w:rsidRDefault="004E0CD2" w:rsidP="004E0CD2">
            <w:pPr>
              <w:autoSpaceDE w:val="0"/>
              <w:autoSpaceDN w:val="0"/>
              <w:adjustRightInd w:val="0"/>
              <w:ind w:left="360"/>
              <w:jc w:val="center"/>
              <w:rPr>
                <w:rFonts w:asciiTheme="minorHAnsi" w:hAnsiTheme="minorHAnsi" w:cs="Arial"/>
                <w:sz w:val="22"/>
                <w:szCs w:val="22"/>
              </w:rPr>
            </w:pPr>
            <w:r w:rsidRPr="001D52A0">
              <w:rPr>
                <w:rFonts w:asciiTheme="minorHAnsi" w:hAnsiTheme="minorHAnsi" w:cs="Arial"/>
                <w:sz w:val="22"/>
                <w:szCs w:val="22"/>
              </w:rPr>
              <w:t>18,700</w:t>
            </w:r>
          </w:p>
        </w:tc>
        <w:tc>
          <w:tcPr>
            <w:tcW w:w="2380" w:type="dxa"/>
            <w:hideMark/>
          </w:tcPr>
          <w:p w14:paraId="22C87195" w14:textId="77777777" w:rsidR="004E0CD2" w:rsidRPr="001D52A0" w:rsidRDefault="004E0CD2" w:rsidP="004E0CD2">
            <w:pPr>
              <w:autoSpaceDE w:val="0"/>
              <w:autoSpaceDN w:val="0"/>
              <w:adjustRightInd w:val="0"/>
              <w:ind w:left="360"/>
              <w:jc w:val="center"/>
              <w:rPr>
                <w:rFonts w:asciiTheme="minorHAnsi" w:hAnsiTheme="minorHAnsi" w:cs="Arial"/>
                <w:sz w:val="22"/>
                <w:szCs w:val="22"/>
              </w:rPr>
            </w:pPr>
            <w:r w:rsidRPr="001D52A0">
              <w:rPr>
                <w:rFonts w:asciiTheme="minorHAnsi" w:hAnsiTheme="minorHAnsi" w:cs="Arial"/>
                <w:sz w:val="22"/>
                <w:szCs w:val="22"/>
              </w:rPr>
              <w:t>(245)</w:t>
            </w:r>
          </w:p>
        </w:tc>
      </w:tr>
      <w:tr w:rsidR="004E0CD2" w:rsidRPr="001D52A0" w14:paraId="33D8BF17" w14:textId="77777777" w:rsidTr="004E0CD2">
        <w:trPr>
          <w:trHeight w:val="300"/>
        </w:trPr>
        <w:tc>
          <w:tcPr>
            <w:tcW w:w="2380" w:type="dxa"/>
            <w:hideMark/>
          </w:tcPr>
          <w:p w14:paraId="45140034" w14:textId="77777777" w:rsidR="004E0CD2" w:rsidRPr="001D52A0" w:rsidRDefault="004E0CD2" w:rsidP="004E0CD2">
            <w:pPr>
              <w:autoSpaceDE w:val="0"/>
              <w:autoSpaceDN w:val="0"/>
              <w:adjustRightInd w:val="0"/>
              <w:ind w:left="360"/>
              <w:jc w:val="both"/>
              <w:rPr>
                <w:rFonts w:asciiTheme="minorHAnsi" w:hAnsiTheme="minorHAnsi" w:cs="Arial"/>
                <w:sz w:val="22"/>
                <w:szCs w:val="22"/>
              </w:rPr>
            </w:pPr>
            <w:r w:rsidRPr="001D52A0">
              <w:rPr>
                <w:rFonts w:asciiTheme="minorHAnsi" w:hAnsiTheme="minorHAnsi" w:cs="Arial"/>
                <w:sz w:val="22"/>
                <w:szCs w:val="22"/>
              </w:rPr>
              <w:t>Kitchen</w:t>
            </w:r>
          </w:p>
        </w:tc>
        <w:tc>
          <w:tcPr>
            <w:tcW w:w="2380" w:type="dxa"/>
            <w:hideMark/>
          </w:tcPr>
          <w:p w14:paraId="2B58A03C" w14:textId="77777777" w:rsidR="004E0CD2" w:rsidRPr="001D52A0" w:rsidRDefault="004E0CD2" w:rsidP="004E0CD2">
            <w:pPr>
              <w:autoSpaceDE w:val="0"/>
              <w:autoSpaceDN w:val="0"/>
              <w:adjustRightInd w:val="0"/>
              <w:ind w:left="360"/>
              <w:jc w:val="center"/>
              <w:rPr>
                <w:rFonts w:asciiTheme="minorHAnsi" w:hAnsiTheme="minorHAnsi" w:cs="Arial"/>
                <w:sz w:val="22"/>
                <w:szCs w:val="22"/>
              </w:rPr>
            </w:pPr>
            <w:r w:rsidRPr="001D52A0">
              <w:rPr>
                <w:rFonts w:asciiTheme="minorHAnsi" w:hAnsiTheme="minorHAnsi" w:cs="Arial"/>
                <w:sz w:val="22"/>
                <w:szCs w:val="22"/>
              </w:rPr>
              <w:t>32,616</w:t>
            </w:r>
          </w:p>
        </w:tc>
        <w:tc>
          <w:tcPr>
            <w:tcW w:w="2380" w:type="dxa"/>
            <w:hideMark/>
          </w:tcPr>
          <w:p w14:paraId="0207F35E" w14:textId="77777777" w:rsidR="004E0CD2" w:rsidRPr="001D52A0" w:rsidRDefault="004E0CD2" w:rsidP="004E0CD2">
            <w:pPr>
              <w:autoSpaceDE w:val="0"/>
              <w:autoSpaceDN w:val="0"/>
              <w:adjustRightInd w:val="0"/>
              <w:ind w:left="360"/>
              <w:jc w:val="center"/>
              <w:rPr>
                <w:rFonts w:asciiTheme="minorHAnsi" w:hAnsiTheme="minorHAnsi" w:cs="Arial"/>
                <w:sz w:val="22"/>
                <w:szCs w:val="22"/>
              </w:rPr>
            </w:pPr>
            <w:r w:rsidRPr="001D52A0">
              <w:rPr>
                <w:rFonts w:asciiTheme="minorHAnsi" w:hAnsiTheme="minorHAnsi" w:cs="Arial"/>
                <w:sz w:val="22"/>
                <w:szCs w:val="22"/>
              </w:rPr>
              <w:t>31,777</w:t>
            </w:r>
          </w:p>
        </w:tc>
        <w:tc>
          <w:tcPr>
            <w:tcW w:w="2380" w:type="dxa"/>
            <w:hideMark/>
          </w:tcPr>
          <w:p w14:paraId="06102143" w14:textId="77777777" w:rsidR="004E0CD2" w:rsidRPr="001D52A0" w:rsidRDefault="004E0CD2" w:rsidP="004E0CD2">
            <w:pPr>
              <w:autoSpaceDE w:val="0"/>
              <w:autoSpaceDN w:val="0"/>
              <w:adjustRightInd w:val="0"/>
              <w:ind w:left="360"/>
              <w:jc w:val="center"/>
              <w:rPr>
                <w:rFonts w:asciiTheme="minorHAnsi" w:hAnsiTheme="minorHAnsi" w:cs="Arial"/>
                <w:sz w:val="22"/>
                <w:szCs w:val="22"/>
              </w:rPr>
            </w:pPr>
            <w:r w:rsidRPr="001D52A0">
              <w:rPr>
                <w:rFonts w:asciiTheme="minorHAnsi" w:hAnsiTheme="minorHAnsi" w:cs="Arial"/>
                <w:sz w:val="22"/>
                <w:szCs w:val="22"/>
              </w:rPr>
              <w:t>(839)</w:t>
            </w:r>
          </w:p>
        </w:tc>
      </w:tr>
      <w:tr w:rsidR="004E0CD2" w:rsidRPr="001D52A0" w14:paraId="127CFF83" w14:textId="77777777" w:rsidTr="004E0CD2">
        <w:trPr>
          <w:trHeight w:val="300"/>
        </w:trPr>
        <w:tc>
          <w:tcPr>
            <w:tcW w:w="2380" w:type="dxa"/>
            <w:hideMark/>
          </w:tcPr>
          <w:p w14:paraId="1D27A539" w14:textId="41272AB1" w:rsidR="004E0CD2" w:rsidRPr="001D52A0" w:rsidRDefault="004E0CD2" w:rsidP="004E0CD2">
            <w:pPr>
              <w:autoSpaceDE w:val="0"/>
              <w:autoSpaceDN w:val="0"/>
              <w:adjustRightInd w:val="0"/>
              <w:ind w:left="360"/>
              <w:jc w:val="both"/>
              <w:rPr>
                <w:rFonts w:asciiTheme="minorHAnsi" w:hAnsiTheme="minorHAnsi" w:cs="Arial"/>
                <w:sz w:val="22"/>
                <w:szCs w:val="22"/>
              </w:rPr>
            </w:pPr>
            <w:r w:rsidRPr="001D52A0">
              <w:rPr>
                <w:rFonts w:asciiTheme="minorHAnsi" w:hAnsiTheme="minorHAnsi" w:cs="Arial"/>
                <w:sz w:val="22"/>
                <w:szCs w:val="22"/>
              </w:rPr>
              <w:t>Tyres</w:t>
            </w:r>
            <w:r w:rsidR="00263728" w:rsidRPr="001D52A0">
              <w:rPr>
                <w:rFonts w:asciiTheme="minorHAnsi" w:hAnsiTheme="minorHAnsi" w:cs="Arial"/>
                <w:sz w:val="22"/>
                <w:szCs w:val="22"/>
              </w:rPr>
              <w:t>*</w:t>
            </w:r>
          </w:p>
        </w:tc>
        <w:tc>
          <w:tcPr>
            <w:tcW w:w="2380" w:type="dxa"/>
            <w:hideMark/>
          </w:tcPr>
          <w:p w14:paraId="14FA3811" w14:textId="77777777" w:rsidR="004E0CD2" w:rsidRPr="001D52A0" w:rsidRDefault="004E0CD2" w:rsidP="004E0CD2">
            <w:pPr>
              <w:autoSpaceDE w:val="0"/>
              <w:autoSpaceDN w:val="0"/>
              <w:adjustRightInd w:val="0"/>
              <w:ind w:left="360"/>
              <w:jc w:val="center"/>
              <w:rPr>
                <w:rFonts w:asciiTheme="minorHAnsi" w:hAnsiTheme="minorHAnsi" w:cs="Arial"/>
                <w:sz w:val="22"/>
                <w:szCs w:val="22"/>
              </w:rPr>
            </w:pPr>
            <w:r w:rsidRPr="001D52A0">
              <w:rPr>
                <w:rFonts w:asciiTheme="minorHAnsi" w:hAnsiTheme="minorHAnsi" w:cs="Arial"/>
                <w:sz w:val="22"/>
                <w:szCs w:val="22"/>
              </w:rPr>
              <w:t>8</w:t>
            </w:r>
          </w:p>
        </w:tc>
        <w:tc>
          <w:tcPr>
            <w:tcW w:w="2380" w:type="dxa"/>
            <w:hideMark/>
          </w:tcPr>
          <w:p w14:paraId="5E45906B" w14:textId="77777777" w:rsidR="004E0CD2" w:rsidRPr="001D52A0" w:rsidRDefault="004E0CD2" w:rsidP="004E0CD2">
            <w:pPr>
              <w:autoSpaceDE w:val="0"/>
              <w:autoSpaceDN w:val="0"/>
              <w:adjustRightInd w:val="0"/>
              <w:ind w:left="360"/>
              <w:jc w:val="center"/>
              <w:rPr>
                <w:rFonts w:asciiTheme="minorHAnsi" w:hAnsiTheme="minorHAnsi" w:cs="Arial"/>
                <w:sz w:val="22"/>
                <w:szCs w:val="22"/>
              </w:rPr>
            </w:pPr>
            <w:r w:rsidRPr="001D52A0">
              <w:rPr>
                <w:rFonts w:asciiTheme="minorHAnsi" w:hAnsiTheme="minorHAnsi" w:cs="Arial"/>
                <w:sz w:val="22"/>
                <w:szCs w:val="22"/>
              </w:rPr>
              <w:t>8,214</w:t>
            </w:r>
          </w:p>
        </w:tc>
        <w:tc>
          <w:tcPr>
            <w:tcW w:w="2380" w:type="dxa"/>
            <w:hideMark/>
          </w:tcPr>
          <w:p w14:paraId="2DC24FD2" w14:textId="77777777" w:rsidR="004E0CD2" w:rsidRPr="001D52A0" w:rsidRDefault="004E0CD2" w:rsidP="004E0CD2">
            <w:pPr>
              <w:autoSpaceDE w:val="0"/>
              <w:autoSpaceDN w:val="0"/>
              <w:adjustRightInd w:val="0"/>
              <w:ind w:left="360"/>
              <w:jc w:val="center"/>
              <w:rPr>
                <w:rFonts w:asciiTheme="minorHAnsi" w:hAnsiTheme="minorHAnsi" w:cs="Arial"/>
                <w:sz w:val="22"/>
                <w:szCs w:val="22"/>
              </w:rPr>
            </w:pPr>
            <w:r w:rsidRPr="001D52A0">
              <w:rPr>
                <w:rFonts w:asciiTheme="minorHAnsi" w:hAnsiTheme="minorHAnsi" w:cs="Arial"/>
                <w:sz w:val="22"/>
                <w:szCs w:val="22"/>
              </w:rPr>
              <w:t>8,206</w:t>
            </w:r>
          </w:p>
        </w:tc>
      </w:tr>
      <w:tr w:rsidR="004E0CD2" w:rsidRPr="001D52A0" w14:paraId="72565692" w14:textId="77777777" w:rsidTr="004E0CD2">
        <w:trPr>
          <w:trHeight w:val="300"/>
        </w:trPr>
        <w:tc>
          <w:tcPr>
            <w:tcW w:w="2380" w:type="dxa"/>
            <w:hideMark/>
          </w:tcPr>
          <w:p w14:paraId="6062FE5C" w14:textId="77777777" w:rsidR="004E0CD2" w:rsidRPr="001D52A0" w:rsidRDefault="004E0CD2" w:rsidP="004E0CD2">
            <w:pPr>
              <w:autoSpaceDE w:val="0"/>
              <w:autoSpaceDN w:val="0"/>
              <w:adjustRightInd w:val="0"/>
              <w:ind w:left="360"/>
              <w:jc w:val="both"/>
              <w:rPr>
                <w:rFonts w:asciiTheme="minorHAnsi" w:hAnsiTheme="minorHAnsi" w:cs="Arial"/>
                <w:sz w:val="22"/>
                <w:szCs w:val="22"/>
              </w:rPr>
            </w:pPr>
            <w:r w:rsidRPr="001D52A0">
              <w:rPr>
                <w:rFonts w:asciiTheme="minorHAnsi" w:hAnsiTheme="minorHAnsi" w:cs="Arial"/>
                <w:sz w:val="22"/>
                <w:szCs w:val="22"/>
              </w:rPr>
              <w:t>Gypsum</w:t>
            </w:r>
          </w:p>
        </w:tc>
        <w:tc>
          <w:tcPr>
            <w:tcW w:w="2380" w:type="dxa"/>
            <w:hideMark/>
          </w:tcPr>
          <w:p w14:paraId="50C4EAFC" w14:textId="77777777" w:rsidR="004E0CD2" w:rsidRPr="001D52A0" w:rsidRDefault="004E0CD2" w:rsidP="004E0CD2">
            <w:pPr>
              <w:autoSpaceDE w:val="0"/>
              <w:autoSpaceDN w:val="0"/>
              <w:adjustRightInd w:val="0"/>
              <w:ind w:left="360"/>
              <w:jc w:val="center"/>
              <w:rPr>
                <w:rFonts w:asciiTheme="minorHAnsi" w:hAnsiTheme="minorHAnsi" w:cs="Arial"/>
                <w:sz w:val="22"/>
                <w:szCs w:val="22"/>
              </w:rPr>
            </w:pPr>
            <w:r w:rsidRPr="001D52A0">
              <w:rPr>
                <w:rFonts w:asciiTheme="minorHAnsi" w:hAnsiTheme="minorHAnsi" w:cs="Arial"/>
                <w:sz w:val="22"/>
                <w:szCs w:val="22"/>
              </w:rPr>
              <w:t>172</w:t>
            </w:r>
          </w:p>
        </w:tc>
        <w:tc>
          <w:tcPr>
            <w:tcW w:w="2380" w:type="dxa"/>
            <w:hideMark/>
          </w:tcPr>
          <w:p w14:paraId="2D779E0A" w14:textId="77777777" w:rsidR="004E0CD2" w:rsidRPr="001D52A0" w:rsidRDefault="004E0CD2" w:rsidP="004E0CD2">
            <w:pPr>
              <w:autoSpaceDE w:val="0"/>
              <w:autoSpaceDN w:val="0"/>
              <w:adjustRightInd w:val="0"/>
              <w:ind w:left="360"/>
              <w:jc w:val="center"/>
              <w:rPr>
                <w:rFonts w:asciiTheme="minorHAnsi" w:hAnsiTheme="minorHAnsi" w:cs="Arial"/>
                <w:sz w:val="22"/>
                <w:szCs w:val="22"/>
              </w:rPr>
            </w:pPr>
            <w:r w:rsidRPr="001D52A0">
              <w:rPr>
                <w:rFonts w:asciiTheme="minorHAnsi" w:hAnsiTheme="minorHAnsi" w:cs="Arial"/>
                <w:sz w:val="22"/>
                <w:szCs w:val="22"/>
              </w:rPr>
              <w:t>308</w:t>
            </w:r>
          </w:p>
        </w:tc>
        <w:tc>
          <w:tcPr>
            <w:tcW w:w="2380" w:type="dxa"/>
            <w:hideMark/>
          </w:tcPr>
          <w:p w14:paraId="60F6ACF6" w14:textId="77777777" w:rsidR="004E0CD2" w:rsidRPr="001D52A0" w:rsidRDefault="004E0CD2" w:rsidP="004E0CD2">
            <w:pPr>
              <w:autoSpaceDE w:val="0"/>
              <w:autoSpaceDN w:val="0"/>
              <w:adjustRightInd w:val="0"/>
              <w:ind w:left="360"/>
              <w:jc w:val="center"/>
              <w:rPr>
                <w:rFonts w:asciiTheme="minorHAnsi" w:hAnsiTheme="minorHAnsi" w:cs="Arial"/>
                <w:sz w:val="22"/>
                <w:szCs w:val="22"/>
              </w:rPr>
            </w:pPr>
            <w:r w:rsidRPr="001D52A0">
              <w:rPr>
                <w:rFonts w:asciiTheme="minorHAnsi" w:hAnsiTheme="minorHAnsi" w:cs="Arial"/>
                <w:sz w:val="22"/>
                <w:szCs w:val="22"/>
              </w:rPr>
              <w:t>137</w:t>
            </w:r>
          </w:p>
        </w:tc>
      </w:tr>
      <w:tr w:rsidR="004E0CD2" w:rsidRPr="001D52A0" w14:paraId="3934AF35" w14:textId="77777777" w:rsidTr="004E0CD2">
        <w:trPr>
          <w:trHeight w:val="300"/>
        </w:trPr>
        <w:tc>
          <w:tcPr>
            <w:tcW w:w="2380" w:type="dxa"/>
            <w:hideMark/>
          </w:tcPr>
          <w:p w14:paraId="75440CE2" w14:textId="77777777" w:rsidR="004E0CD2" w:rsidRPr="001D52A0" w:rsidRDefault="004E0CD2" w:rsidP="004E0CD2">
            <w:pPr>
              <w:autoSpaceDE w:val="0"/>
              <w:autoSpaceDN w:val="0"/>
              <w:adjustRightInd w:val="0"/>
              <w:ind w:left="360"/>
              <w:jc w:val="both"/>
              <w:rPr>
                <w:rFonts w:asciiTheme="minorHAnsi" w:hAnsiTheme="minorHAnsi" w:cs="Arial"/>
                <w:sz w:val="22"/>
                <w:szCs w:val="22"/>
              </w:rPr>
            </w:pPr>
            <w:r w:rsidRPr="001D52A0">
              <w:rPr>
                <w:rFonts w:asciiTheme="minorHAnsi" w:hAnsiTheme="minorHAnsi" w:cs="Arial"/>
                <w:sz w:val="22"/>
                <w:szCs w:val="22"/>
              </w:rPr>
              <w:t>Plastic Hard</w:t>
            </w:r>
          </w:p>
        </w:tc>
        <w:tc>
          <w:tcPr>
            <w:tcW w:w="2380" w:type="dxa"/>
            <w:hideMark/>
          </w:tcPr>
          <w:p w14:paraId="4EAF1F08" w14:textId="77777777" w:rsidR="004E0CD2" w:rsidRPr="001D52A0" w:rsidRDefault="004E0CD2" w:rsidP="004E0CD2">
            <w:pPr>
              <w:autoSpaceDE w:val="0"/>
              <w:autoSpaceDN w:val="0"/>
              <w:adjustRightInd w:val="0"/>
              <w:ind w:left="360"/>
              <w:jc w:val="center"/>
              <w:rPr>
                <w:rFonts w:asciiTheme="minorHAnsi" w:hAnsiTheme="minorHAnsi" w:cs="Arial"/>
                <w:sz w:val="22"/>
                <w:szCs w:val="22"/>
              </w:rPr>
            </w:pPr>
            <w:r w:rsidRPr="001D52A0">
              <w:rPr>
                <w:rFonts w:asciiTheme="minorHAnsi" w:hAnsiTheme="minorHAnsi" w:cs="Arial"/>
                <w:sz w:val="22"/>
                <w:szCs w:val="22"/>
              </w:rPr>
              <w:t>93</w:t>
            </w:r>
          </w:p>
        </w:tc>
        <w:tc>
          <w:tcPr>
            <w:tcW w:w="2380" w:type="dxa"/>
            <w:hideMark/>
          </w:tcPr>
          <w:p w14:paraId="2F464329" w14:textId="77777777" w:rsidR="004E0CD2" w:rsidRPr="001D52A0" w:rsidRDefault="004E0CD2" w:rsidP="004E0CD2">
            <w:pPr>
              <w:autoSpaceDE w:val="0"/>
              <w:autoSpaceDN w:val="0"/>
              <w:adjustRightInd w:val="0"/>
              <w:ind w:left="360"/>
              <w:jc w:val="center"/>
              <w:rPr>
                <w:rFonts w:asciiTheme="minorHAnsi" w:hAnsiTheme="minorHAnsi" w:cs="Arial"/>
                <w:sz w:val="22"/>
                <w:szCs w:val="22"/>
              </w:rPr>
            </w:pPr>
            <w:r w:rsidRPr="001D52A0">
              <w:rPr>
                <w:rFonts w:asciiTheme="minorHAnsi" w:hAnsiTheme="minorHAnsi" w:cs="Arial"/>
                <w:sz w:val="22"/>
                <w:szCs w:val="22"/>
              </w:rPr>
              <w:t>93</w:t>
            </w:r>
          </w:p>
        </w:tc>
        <w:tc>
          <w:tcPr>
            <w:tcW w:w="2380" w:type="dxa"/>
            <w:hideMark/>
          </w:tcPr>
          <w:p w14:paraId="358B39C9" w14:textId="77777777" w:rsidR="004E0CD2" w:rsidRPr="001D52A0" w:rsidRDefault="004E0CD2" w:rsidP="004E0CD2">
            <w:pPr>
              <w:autoSpaceDE w:val="0"/>
              <w:autoSpaceDN w:val="0"/>
              <w:adjustRightInd w:val="0"/>
              <w:ind w:left="360"/>
              <w:jc w:val="center"/>
              <w:rPr>
                <w:rFonts w:asciiTheme="minorHAnsi" w:hAnsiTheme="minorHAnsi" w:cs="Arial"/>
                <w:sz w:val="22"/>
                <w:szCs w:val="22"/>
              </w:rPr>
            </w:pPr>
            <w:r w:rsidRPr="001D52A0">
              <w:rPr>
                <w:rFonts w:asciiTheme="minorHAnsi" w:hAnsiTheme="minorHAnsi" w:cs="Arial"/>
                <w:sz w:val="22"/>
                <w:szCs w:val="22"/>
              </w:rPr>
              <w:t>0</w:t>
            </w:r>
          </w:p>
        </w:tc>
      </w:tr>
      <w:tr w:rsidR="004E0CD2" w:rsidRPr="001D52A0" w14:paraId="21872E12" w14:textId="77777777" w:rsidTr="004E0CD2">
        <w:trPr>
          <w:trHeight w:val="300"/>
        </w:trPr>
        <w:tc>
          <w:tcPr>
            <w:tcW w:w="2380" w:type="dxa"/>
            <w:hideMark/>
          </w:tcPr>
          <w:p w14:paraId="35326044" w14:textId="77777777" w:rsidR="004E0CD2" w:rsidRPr="001D52A0" w:rsidRDefault="004E0CD2" w:rsidP="004E0CD2">
            <w:pPr>
              <w:autoSpaceDE w:val="0"/>
              <w:autoSpaceDN w:val="0"/>
              <w:adjustRightInd w:val="0"/>
              <w:ind w:left="360"/>
              <w:jc w:val="both"/>
              <w:rPr>
                <w:rFonts w:asciiTheme="minorHAnsi" w:hAnsiTheme="minorHAnsi" w:cs="Arial"/>
                <w:sz w:val="22"/>
                <w:szCs w:val="22"/>
              </w:rPr>
            </w:pPr>
            <w:r w:rsidRPr="001D52A0">
              <w:rPr>
                <w:rFonts w:asciiTheme="minorHAnsi" w:hAnsiTheme="minorHAnsi" w:cs="Arial"/>
                <w:sz w:val="22"/>
                <w:szCs w:val="22"/>
              </w:rPr>
              <w:t>Soil + Rubble</w:t>
            </w:r>
          </w:p>
        </w:tc>
        <w:tc>
          <w:tcPr>
            <w:tcW w:w="2380" w:type="dxa"/>
            <w:hideMark/>
          </w:tcPr>
          <w:p w14:paraId="68A3ECA3" w14:textId="77777777" w:rsidR="004E0CD2" w:rsidRPr="001D52A0" w:rsidRDefault="004E0CD2" w:rsidP="004E0CD2">
            <w:pPr>
              <w:autoSpaceDE w:val="0"/>
              <w:autoSpaceDN w:val="0"/>
              <w:adjustRightInd w:val="0"/>
              <w:ind w:left="360"/>
              <w:jc w:val="center"/>
              <w:rPr>
                <w:rFonts w:asciiTheme="minorHAnsi" w:hAnsiTheme="minorHAnsi" w:cs="Arial"/>
                <w:sz w:val="22"/>
                <w:szCs w:val="22"/>
              </w:rPr>
            </w:pPr>
            <w:r w:rsidRPr="001D52A0">
              <w:rPr>
                <w:rFonts w:asciiTheme="minorHAnsi" w:hAnsiTheme="minorHAnsi" w:cs="Arial"/>
                <w:sz w:val="22"/>
                <w:szCs w:val="22"/>
              </w:rPr>
              <w:t>7,841</w:t>
            </w:r>
          </w:p>
        </w:tc>
        <w:tc>
          <w:tcPr>
            <w:tcW w:w="2380" w:type="dxa"/>
            <w:hideMark/>
          </w:tcPr>
          <w:p w14:paraId="73BA248B" w14:textId="77777777" w:rsidR="004E0CD2" w:rsidRPr="001D52A0" w:rsidRDefault="004E0CD2" w:rsidP="004E0CD2">
            <w:pPr>
              <w:autoSpaceDE w:val="0"/>
              <w:autoSpaceDN w:val="0"/>
              <w:adjustRightInd w:val="0"/>
              <w:ind w:left="360"/>
              <w:jc w:val="center"/>
              <w:rPr>
                <w:rFonts w:asciiTheme="minorHAnsi" w:hAnsiTheme="minorHAnsi" w:cs="Arial"/>
                <w:sz w:val="22"/>
                <w:szCs w:val="22"/>
              </w:rPr>
            </w:pPr>
            <w:r w:rsidRPr="001D52A0">
              <w:rPr>
                <w:rFonts w:asciiTheme="minorHAnsi" w:hAnsiTheme="minorHAnsi" w:cs="Arial"/>
                <w:sz w:val="22"/>
                <w:szCs w:val="22"/>
              </w:rPr>
              <w:t>7,600</w:t>
            </w:r>
          </w:p>
        </w:tc>
        <w:tc>
          <w:tcPr>
            <w:tcW w:w="2380" w:type="dxa"/>
            <w:hideMark/>
          </w:tcPr>
          <w:p w14:paraId="4718E7F3" w14:textId="77777777" w:rsidR="004E0CD2" w:rsidRPr="001D52A0" w:rsidRDefault="004E0CD2" w:rsidP="004E0CD2">
            <w:pPr>
              <w:autoSpaceDE w:val="0"/>
              <w:autoSpaceDN w:val="0"/>
              <w:adjustRightInd w:val="0"/>
              <w:ind w:left="360"/>
              <w:jc w:val="center"/>
              <w:rPr>
                <w:rFonts w:asciiTheme="minorHAnsi" w:hAnsiTheme="minorHAnsi" w:cs="Arial"/>
                <w:sz w:val="22"/>
                <w:szCs w:val="22"/>
              </w:rPr>
            </w:pPr>
            <w:r w:rsidRPr="001D52A0">
              <w:rPr>
                <w:rFonts w:asciiTheme="minorHAnsi" w:hAnsiTheme="minorHAnsi" w:cs="Arial"/>
                <w:sz w:val="22"/>
                <w:szCs w:val="22"/>
              </w:rPr>
              <w:t>(241)</w:t>
            </w:r>
          </w:p>
        </w:tc>
      </w:tr>
      <w:tr w:rsidR="004E0CD2" w:rsidRPr="001D52A0" w14:paraId="5CE8F316" w14:textId="77777777" w:rsidTr="004E0CD2">
        <w:trPr>
          <w:trHeight w:val="300"/>
        </w:trPr>
        <w:tc>
          <w:tcPr>
            <w:tcW w:w="2380" w:type="dxa"/>
            <w:hideMark/>
          </w:tcPr>
          <w:p w14:paraId="59FF2561" w14:textId="77777777" w:rsidR="004E0CD2" w:rsidRPr="001D52A0" w:rsidRDefault="004E0CD2" w:rsidP="004E0CD2">
            <w:pPr>
              <w:autoSpaceDE w:val="0"/>
              <w:autoSpaceDN w:val="0"/>
              <w:adjustRightInd w:val="0"/>
              <w:ind w:left="360"/>
              <w:jc w:val="both"/>
              <w:rPr>
                <w:rFonts w:asciiTheme="minorHAnsi" w:hAnsiTheme="minorHAnsi" w:cs="Arial"/>
                <w:sz w:val="22"/>
                <w:szCs w:val="22"/>
              </w:rPr>
            </w:pPr>
            <w:r w:rsidRPr="001D52A0">
              <w:rPr>
                <w:rFonts w:asciiTheme="minorHAnsi" w:hAnsiTheme="minorHAnsi" w:cs="Arial"/>
                <w:sz w:val="22"/>
                <w:szCs w:val="22"/>
              </w:rPr>
              <w:t>Dry Mixed Recycling</w:t>
            </w:r>
          </w:p>
        </w:tc>
        <w:tc>
          <w:tcPr>
            <w:tcW w:w="2380" w:type="dxa"/>
            <w:hideMark/>
          </w:tcPr>
          <w:p w14:paraId="2C49E6F6" w14:textId="77777777" w:rsidR="004E0CD2" w:rsidRPr="001D52A0" w:rsidRDefault="004E0CD2" w:rsidP="004E0CD2">
            <w:pPr>
              <w:autoSpaceDE w:val="0"/>
              <w:autoSpaceDN w:val="0"/>
              <w:adjustRightInd w:val="0"/>
              <w:ind w:left="360"/>
              <w:jc w:val="center"/>
              <w:rPr>
                <w:rFonts w:asciiTheme="minorHAnsi" w:hAnsiTheme="minorHAnsi" w:cs="Arial"/>
                <w:sz w:val="22"/>
                <w:szCs w:val="22"/>
              </w:rPr>
            </w:pPr>
            <w:r w:rsidRPr="001D52A0">
              <w:rPr>
                <w:rFonts w:asciiTheme="minorHAnsi" w:hAnsiTheme="minorHAnsi" w:cs="Arial"/>
                <w:sz w:val="22"/>
                <w:szCs w:val="22"/>
              </w:rPr>
              <w:t>24,948</w:t>
            </w:r>
          </w:p>
        </w:tc>
        <w:tc>
          <w:tcPr>
            <w:tcW w:w="2380" w:type="dxa"/>
            <w:hideMark/>
          </w:tcPr>
          <w:p w14:paraId="2A2E3459" w14:textId="77777777" w:rsidR="004E0CD2" w:rsidRPr="001D52A0" w:rsidRDefault="004E0CD2" w:rsidP="004E0CD2">
            <w:pPr>
              <w:autoSpaceDE w:val="0"/>
              <w:autoSpaceDN w:val="0"/>
              <w:adjustRightInd w:val="0"/>
              <w:ind w:left="360"/>
              <w:jc w:val="center"/>
              <w:rPr>
                <w:rFonts w:asciiTheme="minorHAnsi" w:hAnsiTheme="minorHAnsi" w:cs="Arial"/>
                <w:sz w:val="22"/>
                <w:szCs w:val="22"/>
              </w:rPr>
            </w:pPr>
            <w:r w:rsidRPr="001D52A0">
              <w:rPr>
                <w:rFonts w:asciiTheme="minorHAnsi" w:hAnsiTheme="minorHAnsi" w:cs="Arial"/>
                <w:sz w:val="22"/>
                <w:szCs w:val="22"/>
              </w:rPr>
              <w:t>48,040</w:t>
            </w:r>
          </w:p>
        </w:tc>
        <w:tc>
          <w:tcPr>
            <w:tcW w:w="2380" w:type="dxa"/>
            <w:hideMark/>
          </w:tcPr>
          <w:p w14:paraId="499B1106" w14:textId="77777777" w:rsidR="004E0CD2" w:rsidRPr="001D52A0" w:rsidRDefault="004E0CD2" w:rsidP="004E0CD2">
            <w:pPr>
              <w:autoSpaceDE w:val="0"/>
              <w:autoSpaceDN w:val="0"/>
              <w:adjustRightInd w:val="0"/>
              <w:ind w:left="360"/>
              <w:jc w:val="center"/>
              <w:rPr>
                <w:rFonts w:asciiTheme="minorHAnsi" w:hAnsiTheme="minorHAnsi" w:cs="Arial"/>
                <w:sz w:val="22"/>
                <w:szCs w:val="22"/>
              </w:rPr>
            </w:pPr>
            <w:r w:rsidRPr="001D52A0">
              <w:rPr>
                <w:rFonts w:asciiTheme="minorHAnsi" w:hAnsiTheme="minorHAnsi" w:cs="Arial"/>
                <w:sz w:val="22"/>
                <w:szCs w:val="22"/>
              </w:rPr>
              <w:t>23,092</w:t>
            </w:r>
          </w:p>
        </w:tc>
      </w:tr>
      <w:tr w:rsidR="004E0CD2" w:rsidRPr="001D52A0" w14:paraId="125D0DD7" w14:textId="77777777" w:rsidTr="004E0CD2">
        <w:trPr>
          <w:trHeight w:val="300"/>
        </w:trPr>
        <w:tc>
          <w:tcPr>
            <w:tcW w:w="2380" w:type="dxa"/>
            <w:hideMark/>
          </w:tcPr>
          <w:p w14:paraId="6FC28003" w14:textId="77777777" w:rsidR="004E0CD2" w:rsidRPr="001D52A0" w:rsidRDefault="004E0CD2" w:rsidP="004E0CD2">
            <w:pPr>
              <w:autoSpaceDE w:val="0"/>
              <w:autoSpaceDN w:val="0"/>
              <w:adjustRightInd w:val="0"/>
              <w:ind w:left="360"/>
              <w:jc w:val="both"/>
              <w:rPr>
                <w:rFonts w:asciiTheme="minorHAnsi" w:hAnsiTheme="minorHAnsi" w:cs="Arial"/>
                <w:sz w:val="22"/>
                <w:szCs w:val="22"/>
              </w:rPr>
            </w:pPr>
            <w:r w:rsidRPr="001D52A0">
              <w:rPr>
                <w:rFonts w:asciiTheme="minorHAnsi" w:hAnsiTheme="minorHAnsi" w:cs="Arial"/>
                <w:sz w:val="22"/>
                <w:szCs w:val="22"/>
              </w:rPr>
              <w:t>Cardboard</w:t>
            </w:r>
          </w:p>
        </w:tc>
        <w:tc>
          <w:tcPr>
            <w:tcW w:w="2380" w:type="dxa"/>
            <w:hideMark/>
          </w:tcPr>
          <w:p w14:paraId="13B5D7F2" w14:textId="77777777" w:rsidR="004E0CD2" w:rsidRPr="001D52A0" w:rsidRDefault="004E0CD2" w:rsidP="004E0CD2">
            <w:pPr>
              <w:autoSpaceDE w:val="0"/>
              <w:autoSpaceDN w:val="0"/>
              <w:adjustRightInd w:val="0"/>
              <w:ind w:left="360"/>
              <w:jc w:val="center"/>
              <w:rPr>
                <w:rFonts w:asciiTheme="minorHAnsi" w:hAnsiTheme="minorHAnsi" w:cs="Arial"/>
                <w:sz w:val="22"/>
                <w:szCs w:val="22"/>
              </w:rPr>
            </w:pPr>
            <w:r w:rsidRPr="001D52A0">
              <w:rPr>
                <w:rFonts w:asciiTheme="minorHAnsi" w:hAnsiTheme="minorHAnsi" w:cs="Arial"/>
                <w:sz w:val="22"/>
                <w:szCs w:val="22"/>
              </w:rPr>
              <w:t>0</w:t>
            </w:r>
          </w:p>
        </w:tc>
        <w:tc>
          <w:tcPr>
            <w:tcW w:w="2380" w:type="dxa"/>
            <w:hideMark/>
          </w:tcPr>
          <w:p w14:paraId="422A2546" w14:textId="77777777" w:rsidR="004E0CD2" w:rsidRPr="001D52A0" w:rsidRDefault="004E0CD2" w:rsidP="004E0CD2">
            <w:pPr>
              <w:autoSpaceDE w:val="0"/>
              <w:autoSpaceDN w:val="0"/>
              <w:adjustRightInd w:val="0"/>
              <w:ind w:left="360"/>
              <w:jc w:val="center"/>
              <w:rPr>
                <w:rFonts w:asciiTheme="minorHAnsi" w:hAnsiTheme="minorHAnsi" w:cs="Arial"/>
                <w:sz w:val="22"/>
                <w:szCs w:val="22"/>
              </w:rPr>
            </w:pPr>
            <w:r w:rsidRPr="001D52A0">
              <w:rPr>
                <w:rFonts w:asciiTheme="minorHAnsi" w:hAnsiTheme="minorHAnsi" w:cs="Arial"/>
                <w:sz w:val="22"/>
                <w:szCs w:val="22"/>
              </w:rPr>
              <w:t>3,300</w:t>
            </w:r>
          </w:p>
        </w:tc>
        <w:tc>
          <w:tcPr>
            <w:tcW w:w="2380" w:type="dxa"/>
            <w:hideMark/>
          </w:tcPr>
          <w:p w14:paraId="65E4B768" w14:textId="77777777" w:rsidR="004E0CD2" w:rsidRPr="001D52A0" w:rsidRDefault="004E0CD2" w:rsidP="004E0CD2">
            <w:pPr>
              <w:autoSpaceDE w:val="0"/>
              <w:autoSpaceDN w:val="0"/>
              <w:adjustRightInd w:val="0"/>
              <w:ind w:left="360"/>
              <w:jc w:val="center"/>
              <w:rPr>
                <w:rFonts w:asciiTheme="minorHAnsi" w:hAnsiTheme="minorHAnsi" w:cs="Arial"/>
                <w:sz w:val="22"/>
                <w:szCs w:val="22"/>
              </w:rPr>
            </w:pPr>
            <w:r w:rsidRPr="001D52A0">
              <w:rPr>
                <w:rFonts w:asciiTheme="minorHAnsi" w:hAnsiTheme="minorHAnsi" w:cs="Arial"/>
                <w:sz w:val="22"/>
                <w:szCs w:val="22"/>
              </w:rPr>
              <w:t>3,300</w:t>
            </w:r>
          </w:p>
        </w:tc>
      </w:tr>
      <w:tr w:rsidR="004E0CD2" w:rsidRPr="001D52A0" w14:paraId="5C8483F9" w14:textId="77777777" w:rsidTr="004E0CD2">
        <w:trPr>
          <w:trHeight w:val="300"/>
        </w:trPr>
        <w:tc>
          <w:tcPr>
            <w:tcW w:w="2380" w:type="dxa"/>
            <w:hideMark/>
          </w:tcPr>
          <w:p w14:paraId="16E8AAA7" w14:textId="77777777" w:rsidR="004E0CD2" w:rsidRPr="001D52A0" w:rsidRDefault="004E0CD2" w:rsidP="004E0CD2">
            <w:pPr>
              <w:autoSpaceDE w:val="0"/>
              <w:autoSpaceDN w:val="0"/>
              <w:adjustRightInd w:val="0"/>
              <w:ind w:left="360"/>
              <w:jc w:val="both"/>
              <w:rPr>
                <w:rFonts w:asciiTheme="minorHAnsi" w:hAnsiTheme="minorHAnsi" w:cs="Arial"/>
                <w:sz w:val="22"/>
                <w:szCs w:val="22"/>
              </w:rPr>
            </w:pPr>
            <w:r w:rsidRPr="001D52A0">
              <w:rPr>
                <w:rFonts w:asciiTheme="minorHAnsi" w:hAnsiTheme="minorHAnsi" w:cs="Arial"/>
                <w:sz w:val="22"/>
                <w:szCs w:val="22"/>
              </w:rPr>
              <w:t>Asbestos</w:t>
            </w:r>
          </w:p>
        </w:tc>
        <w:tc>
          <w:tcPr>
            <w:tcW w:w="2380" w:type="dxa"/>
            <w:hideMark/>
          </w:tcPr>
          <w:p w14:paraId="76E78F53" w14:textId="77777777" w:rsidR="004E0CD2" w:rsidRPr="001D52A0" w:rsidRDefault="004E0CD2" w:rsidP="004E0CD2">
            <w:pPr>
              <w:autoSpaceDE w:val="0"/>
              <w:autoSpaceDN w:val="0"/>
              <w:adjustRightInd w:val="0"/>
              <w:ind w:left="360"/>
              <w:jc w:val="center"/>
              <w:rPr>
                <w:rFonts w:asciiTheme="minorHAnsi" w:hAnsiTheme="minorHAnsi" w:cs="Arial"/>
                <w:sz w:val="22"/>
                <w:szCs w:val="22"/>
              </w:rPr>
            </w:pPr>
            <w:r w:rsidRPr="001D52A0">
              <w:rPr>
                <w:rFonts w:asciiTheme="minorHAnsi" w:hAnsiTheme="minorHAnsi" w:cs="Arial"/>
                <w:sz w:val="22"/>
                <w:szCs w:val="22"/>
              </w:rPr>
              <w:t>12</w:t>
            </w:r>
          </w:p>
        </w:tc>
        <w:tc>
          <w:tcPr>
            <w:tcW w:w="2380" w:type="dxa"/>
            <w:hideMark/>
          </w:tcPr>
          <w:p w14:paraId="2C724802" w14:textId="77777777" w:rsidR="004E0CD2" w:rsidRPr="001D52A0" w:rsidRDefault="004E0CD2" w:rsidP="004E0CD2">
            <w:pPr>
              <w:autoSpaceDE w:val="0"/>
              <w:autoSpaceDN w:val="0"/>
              <w:adjustRightInd w:val="0"/>
              <w:ind w:left="360"/>
              <w:jc w:val="center"/>
              <w:rPr>
                <w:rFonts w:asciiTheme="minorHAnsi" w:hAnsiTheme="minorHAnsi" w:cs="Arial"/>
                <w:sz w:val="22"/>
                <w:szCs w:val="22"/>
              </w:rPr>
            </w:pPr>
            <w:r w:rsidRPr="001D52A0">
              <w:rPr>
                <w:rFonts w:asciiTheme="minorHAnsi" w:hAnsiTheme="minorHAnsi" w:cs="Arial"/>
                <w:sz w:val="22"/>
                <w:szCs w:val="22"/>
              </w:rPr>
              <w:t>17</w:t>
            </w:r>
          </w:p>
        </w:tc>
        <w:tc>
          <w:tcPr>
            <w:tcW w:w="2380" w:type="dxa"/>
            <w:hideMark/>
          </w:tcPr>
          <w:p w14:paraId="37413B16" w14:textId="77777777" w:rsidR="004E0CD2" w:rsidRPr="001D52A0" w:rsidRDefault="004E0CD2" w:rsidP="004E0CD2">
            <w:pPr>
              <w:autoSpaceDE w:val="0"/>
              <w:autoSpaceDN w:val="0"/>
              <w:adjustRightInd w:val="0"/>
              <w:ind w:left="360"/>
              <w:jc w:val="center"/>
              <w:rPr>
                <w:rFonts w:asciiTheme="minorHAnsi" w:hAnsiTheme="minorHAnsi" w:cs="Arial"/>
                <w:sz w:val="22"/>
                <w:szCs w:val="22"/>
              </w:rPr>
            </w:pPr>
            <w:r w:rsidRPr="001D52A0">
              <w:rPr>
                <w:rFonts w:asciiTheme="minorHAnsi" w:hAnsiTheme="minorHAnsi" w:cs="Arial"/>
                <w:sz w:val="22"/>
                <w:szCs w:val="22"/>
              </w:rPr>
              <w:t>5</w:t>
            </w:r>
          </w:p>
        </w:tc>
      </w:tr>
      <w:tr w:rsidR="004E0CD2" w:rsidRPr="001D52A0" w14:paraId="7D4B5C65" w14:textId="77777777" w:rsidTr="004E0CD2">
        <w:trPr>
          <w:trHeight w:val="300"/>
        </w:trPr>
        <w:tc>
          <w:tcPr>
            <w:tcW w:w="2380" w:type="dxa"/>
            <w:hideMark/>
          </w:tcPr>
          <w:p w14:paraId="62C7BE26" w14:textId="77777777" w:rsidR="004E0CD2" w:rsidRPr="001D52A0" w:rsidRDefault="004E0CD2" w:rsidP="004E0CD2">
            <w:pPr>
              <w:autoSpaceDE w:val="0"/>
              <w:autoSpaceDN w:val="0"/>
              <w:adjustRightInd w:val="0"/>
              <w:ind w:left="360"/>
              <w:jc w:val="both"/>
              <w:rPr>
                <w:rFonts w:asciiTheme="minorHAnsi" w:hAnsiTheme="minorHAnsi" w:cs="Arial"/>
                <w:b/>
                <w:bCs/>
                <w:sz w:val="22"/>
                <w:szCs w:val="22"/>
              </w:rPr>
            </w:pPr>
            <w:r w:rsidRPr="001D52A0">
              <w:rPr>
                <w:rFonts w:asciiTheme="minorHAnsi" w:hAnsiTheme="minorHAnsi" w:cs="Arial"/>
                <w:b/>
                <w:bCs/>
                <w:sz w:val="22"/>
                <w:szCs w:val="22"/>
              </w:rPr>
              <w:t>Budgeted tonnages</w:t>
            </w:r>
          </w:p>
        </w:tc>
        <w:tc>
          <w:tcPr>
            <w:tcW w:w="2380" w:type="dxa"/>
            <w:hideMark/>
          </w:tcPr>
          <w:p w14:paraId="23D697B7" w14:textId="77777777" w:rsidR="004E0CD2" w:rsidRPr="001D52A0" w:rsidRDefault="004E0CD2" w:rsidP="004E0CD2">
            <w:pPr>
              <w:autoSpaceDE w:val="0"/>
              <w:autoSpaceDN w:val="0"/>
              <w:adjustRightInd w:val="0"/>
              <w:ind w:left="360"/>
              <w:jc w:val="center"/>
              <w:rPr>
                <w:rFonts w:asciiTheme="minorHAnsi" w:hAnsiTheme="minorHAnsi" w:cs="Arial"/>
                <w:b/>
                <w:bCs/>
                <w:sz w:val="22"/>
                <w:szCs w:val="22"/>
              </w:rPr>
            </w:pPr>
            <w:r w:rsidRPr="001D52A0">
              <w:rPr>
                <w:rFonts w:asciiTheme="minorHAnsi" w:hAnsiTheme="minorHAnsi" w:cs="Arial"/>
                <w:b/>
                <w:bCs/>
                <w:sz w:val="22"/>
                <w:szCs w:val="22"/>
              </w:rPr>
              <w:t>549,711</w:t>
            </w:r>
          </w:p>
        </w:tc>
        <w:tc>
          <w:tcPr>
            <w:tcW w:w="2380" w:type="dxa"/>
            <w:hideMark/>
          </w:tcPr>
          <w:p w14:paraId="7A870E22" w14:textId="77777777" w:rsidR="004E0CD2" w:rsidRPr="001D52A0" w:rsidRDefault="004E0CD2" w:rsidP="004E0CD2">
            <w:pPr>
              <w:autoSpaceDE w:val="0"/>
              <w:autoSpaceDN w:val="0"/>
              <w:adjustRightInd w:val="0"/>
              <w:ind w:left="360"/>
              <w:jc w:val="center"/>
              <w:rPr>
                <w:rFonts w:asciiTheme="minorHAnsi" w:hAnsiTheme="minorHAnsi" w:cs="Arial"/>
                <w:b/>
                <w:bCs/>
                <w:sz w:val="22"/>
                <w:szCs w:val="22"/>
              </w:rPr>
            </w:pPr>
            <w:r w:rsidRPr="001D52A0">
              <w:rPr>
                <w:rFonts w:asciiTheme="minorHAnsi" w:hAnsiTheme="minorHAnsi" w:cs="Arial"/>
                <w:b/>
                <w:bCs/>
                <w:sz w:val="22"/>
                <w:szCs w:val="22"/>
              </w:rPr>
              <w:t>590,241</w:t>
            </w:r>
          </w:p>
        </w:tc>
        <w:tc>
          <w:tcPr>
            <w:tcW w:w="2380" w:type="dxa"/>
            <w:hideMark/>
          </w:tcPr>
          <w:p w14:paraId="2A363992" w14:textId="77777777" w:rsidR="004E0CD2" w:rsidRPr="001D52A0" w:rsidRDefault="004E0CD2" w:rsidP="004E0CD2">
            <w:pPr>
              <w:autoSpaceDE w:val="0"/>
              <w:autoSpaceDN w:val="0"/>
              <w:adjustRightInd w:val="0"/>
              <w:ind w:left="360"/>
              <w:jc w:val="center"/>
              <w:rPr>
                <w:rFonts w:asciiTheme="minorHAnsi" w:hAnsiTheme="minorHAnsi" w:cs="Arial"/>
                <w:b/>
                <w:bCs/>
                <w:sz w:val="22"/>
                <w:szCs w:val="22"/>
              </w:rPr>
            </w:pPr>
            <w:r w:rsidRPr="001D52A0">
              <w:rPr>
                <w:rFonts w:asciiTheme="minorHAnsi" w:hAnsiTheme="minorHAnsi" w:cs="Arial"/>
                <w:b/>
                <w:bCs/>
                <w:sz w:val="22"/>
                <w:szCs w:val="22"/>
              </w:rPr>
              <w:t>37,225</w:t>
            </w:r>
          </w:p>
        </w:tc>
      </w:tr>
      <w:tr w:rsidR="004E0CD2" w:rsidRPr="001D52A0" w14:paraId="043E7754" w14:textId="77777777" w:rsidTr="004E0CD2">
        <w:trPr>
          <w:trHeight w:val="300"/>
        </w:trPr>
        <w:tc>
          <w:tcPr>
            <w:tcW w:w="2380" w:type="dxa"/>
            <w:hideMark/>
          </w:tcPr>
          <w:p w14:paraId="2B2B4BCD" w14:textId="77777777" w:rsidR="004E0CD2" w:rsidRPr="001D52A0" w:rsidRDefault="004E0CD2" w:rsidP="004E0CD2">
            <w:pPr>
              <w:autoSpaceDE w:val="0"/>
              <w:autoSpaceDN w:val="0"/>
              <w:adjustRightInd w:val="0"/>
              <w:ind w:left="360"/>
              <w:jc w:val="both"/>
              <w:rPr>
                <w:rFonts w:asciiTheme="minorHAnsi" w:hAnsiTheme="minorHAnsi" w:cs="Arial"/>
                <w:sz w:val="22"/>
                <w:szCs w:val="22"/>
              </w:rPr>
            </w:pPr>
            <w:r w:rsidRPr="001D52A0">
              <w:rPr>
                <w:rFonts w:asciiTheme="minorHAnsi" w:hAnsiTheme="minorHAnsi" w:cs="Arial"/>
                <w:sz w:val="22"/>
                <w:szCs w:val="22"/>
              </w:rPr>
              <w:t>Mattresses (units)</w:t>
            </w:r>
          </w:p>
        </w:tc>
        <w:tc>
          <w:tcPr>
            <w:tcW w:w="2380" w:type="dxa"/>
            <w:hideMark/>
          </w:tcPr>
          <w:p w14:paraId="3707AFBF" w14:textId="77777777" w:rsidR="004E0CD2" w:rsidRPr="001D52A0" w:rsidRDefault="004E0CD2" w:rsidP="004E0CD2">
            <w:pPr>
              <w:autoSpaceDE w:val="0"/>
              <w:autoSpaceDN w:val="0"/>
              <w:adjustRightInd w:val="0"/>
              <w:ind w:left="360"/>
              <w:jc w:val="center"/>
              <w:rPr>
                <w:rFonts w:asciiTheme="minorHAnsi" w:hAnsiTheme="minorHAnsi" w:cs="Arial"/>
                <w:sz w:val="22"/>
                <w:szCs w:val="22"/>
              </w:rPr>
            </w:pPr>
            <w:r w:rsidRPr="001D52A0">
              <w:rPr>
                <w:rFonts w:asciiTheme="minorHAnsi" w:hAnsiTheme="minorHAnsi" w:cs="Arial"/>
                <w:sz w:val="22"/>
                <w:szCs w:val="22"/>
              </w:rPr>
              <w:t>86,521</w:t>
            </w:r>
          </w:p>
        </w:tc>
        <w:tc>
          <w:tcPr>
            <w:tcW w:w="2380" w:type="dxa"/>
            <w:hideMark/>
          </w:tcPr>
          <w:p w14:paraId="3CEDF5AC" w14:textId="77777777" w:rsidR="004E0CD2" w:rsidRPr="001D52A0" w:rsidRDefault="004E0CD2" w:rsidP="004E0CD2">
            <w:pPr>
              <w:autoSpaceDE w:val="0"/>
              <w:autoSpaceDN w:val="0"/>
              <w:adjustRightInd w:val="0"/>
              <w:ind w:left="360"/>
              <w:jc w:val="center"/>
              <w:rPr>
                <w:rFonts w:asciiTheme="minorHAnsi" w:hAnsiTheme="minorHAnsi" w:cs="Arial"/>
                <w:sz w:val="22"/>
                <w:szCs w:val="22"/>
              </w:rPr>
            </w:pPr>
            <w:r w:rsidRPr="001D52A0">
              <w:rPr>
                <w:rFonts w:asciiTheme="minorHAnsi" w:hAnsiTheme="minorHAnsi" w:cs="Arial"/>
                <w:sz w:val="22"/>
                <w:szCs w:val="22"/>
              </w:rPr>
              <w:t>137,696</w:t>
            </w:r>
          </w:p>
        </w:tc>
        <w:tc>
          <w:tcPr>
            <w:tcW w:w="2380" w:type="dxa"/>
            <w:hideMark/>
          </w:tcPr>
          <w:p w14:paraId="0FF6A5AC" w14:textId="77777777" w:rsidR="004E0CD2" w:rsidRPr="001D52A0" w:rsidRDefault="004E0CD2" w:rsidP="004E0CD2">
            <w:pPr>
              <w:autoSpaceDE w:val="0"/>
              <w:autoSpaceDN w:val="0"/>
              <w:adjustRightInd w:val="0"/>
              <w:ind w:left="360"/>
              <w:jc w:val="center"/>
              <w:rPr>
                <w:rFonts w:asciiTheme="minorHAnsi" w:hAnsiTheme="minorHAnsi" w:cs="Arial"/>
                <w:sz w:val="22"/>
                <w:szCs w:val="22"/>
              </w:rPr>
            </w:pPr>
            <w:r w:rsidRPr="001D52A0">
              <w:rPr>
                <w:rFonts w:asciiTheme="minorHAnsi" w:hAnsiTheme="minorHAnsi" w:cs="Arial"/>
                <w:sz w:val="22"/>
                <w:szCs w:val="22"/>
              </w:rPr>
              <w:t>51,175</w:t>
            </w:r>
          </w:p>
        </w:tc>
      </w:tr>
    </w:tbl>
    <w:p w14:paraId="5648F11D" w14:textId="77777777" w:rsidR="00263728" w:rsidRPr="001D52A0" w:rsidRDefault="00263728" w:rsidP="00F362E0">
      <w:pPr>
        <w:numPr>
          <w:ilvl w:val="1"/>
          <w:numId w:val="13"/>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 Whilst tyres was under budgeted in 2023/24, the budget impact is £30,000 and has been corrected in 2024/25.</w:t>
      </w:r>
    </w:p>
    <w:p w14:paraId="15F43954" w14:textId="78EDCFC7" w:rsidR="00FB5BFE" w:rsidRPr="001D52A0" w:rsidRDefault="001C2F6F" w:rsidP="00F362E0">
      <w:pPr>
        <w:numPr>
          <w:ilvl w:val="1"/>
          <w:numId w:val="13"/>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N</w:t>
      </w:r>
      <w:r w:rsidR="00D75D5A" w:rsidRPr="001D52A0">
        <w:rPr>
          <w:rFonts w:asciiTheme="minorHAnsi" w:hAnsiTheme="minorHAnsi" w:cs="Arial"/>
          <w:sz w:val="22"/>
          <w:szCs w:val="22"/>
        </w:rPr>
        <w:t xml:space="preserve">o </w:t>
      </w:r>
      <w:r w:rsidRPr="001D52A0">
        <w:rPr>
          <w:rFonts w:asciiTheme="minorHAnsi" w:hAnsiTheme="minorHAnsi" w:cs="Arial"/>
          <w:sz w:val="22"/>
          <w:szCs w:val="22"/>
        </w:rPr>
        <w:t xml:space="preserve">significant service changes were </w:t>
      </w:r>
      <w:r w:rsidR="00F924AF" w:rsidRPr="001D52A0">
        <w:rPr>
          <w:rFonts w:asciiTheme="minorHAnsi" w:hAnsiTheme="minorHAnsi" w:cs="Arial"/>
          <w:sz w:val="22"/>
          <w:szCs w:val="22"/>
        </w:rPr>
        <w:t xml:space="preserve">identified by </w:t>
      </w:r>
      <w:r w:rsidRPr="001D52A0">
        <w:rPr>
          <w:rFonts w:asciiTheme="minorHAnsi" w:hAnsiTheme="minorHAnsi" w:cs="Arial"/>
          <w:sz w:val="22"/>
          <w:szCs w:val="22"/>
        </w:rPr>
        <w:t>borough</w:t>
      </w:r>
      <w:r w:rsidR="00F924AF" w:rsidRPr="001D52A0">
        <w:rPr>
          <w:rFonts w:asciiTheme="minorHAnsi" w:hAnsiTheme="minorHAnsi" w:cs="Arial"/>
          <w:sz w:val="22"/>
          <w:szCs w:val="22"/>
        </w:rPr>
        <w:t>s</w:t>
      </w:r>
      <w:r w:rsidRPr="001D52A0">
        <w:rPr>
          <w:rFonts w:asciiTheme="minorHAnsi" w:hAnsiTheme="minorHAnsi" w:cs="Arial"/>
          <w:sz w:val="22"/>
          <w:szCs w:val="22"/>
        </w:rPr>
        <w:t>.</w:t>
      </w:r>
      <w:r w:rsidR="00192021" w:rsidRPr="001D52A0">
        <w:rPr>
          <w:rFonts w:asciiTheme="minorHAnsi" w:hAnsiTheme="minorHAnsi" w:cs="Arial"/>
          <w:sz w:val="22"/>
          <w:szCs w:val="22"/>
        </w:rPr>
        <w:t xml:space="preserve"> Borough forecast volumes are </w:t>
      </w:r>
      <w:r w:rsidR="00E40BFE" w:rsidRPr="001D52A0">
        <w:rPr>
          <w:rFonts w:asciiTheme="minorHAnsi" w:hAnsiTheme="minorHAnsi" w:cs="Arial"/>
          <w:sz w:val="22"/>
          <w:szCs w:val="22"/>
        </w:rPr>
        <w:t>on par with prior year</w:t>
      </w:r>
      <w:r w:rsidR="00192021" w:rsidRPr="001D52A0">
        <w:rPr>
          <w:rFonts w:asciiTheme="minorHAnsi" w:hAnsiTheme="minorHAnsi" w:cs="Arial"/>
          <w:sz w:val="22"/>
          <w:szCs w:val="22"/>
        </w:rPr>
        <w:t xml:space="preserve">’s budget setting exercise but in overall terms show a small growth on current activity levels. </w:t>
      </w:r>
      <w:r w:rsidRPr="001D52A0">
        <w:rPr>
          <w:rFonts w:asciiTheme="minorHAnsi" w:hAnsiTheme="minorHAnsi" w:cs="Arial"/>
          <w:sz w:val="22"/>
          <w:szCs w:val="22"/>
        </w:rPr>
        <w:t xml:space="preserve"> </w:t>
      </w:r>
    </w:p>
    <w:p w14:paraId="5547F64C" w14:textId="77777777" w:rsidR="00D234C0" w:rsidRPr="001D52A0" w:rsidRDefault="001C2F6F" w:rsidP="004E4209">
      <w:pPr>
        <w:numPr>
          <w:ilvl w:val="1"/>
          <w:numId w:val="13"/>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 xml:space="preserve">To calculate the budgeted spend, </w:t>
      </w:r>
      <w:r w:rsidR="004037FF" w:rsidRPr="001D52A0">
        <w:rPr>
          <w:rFonts w:asciiTheme="minorHAnsi" w:hAnsiTheme="minorHAnsi" w:cs="Arial"/>
          <w:sz w:val="22"/>
          <w:szCs w:val="22"/>
        </w:rPr>
        <w:t xml:space="preserve">RPIX of </w:t>
      </w:r>
      <w:r w:rsidR="00CB0886" w:rsidRPr="001D52A0">
        <w:rPr>
          <w:rFonts w:asciiTheme="minorHAnsi" w:hAnsiTheme="minorHAnsi" w:cs="Arial"/>
          <w:sz w:val="22"/>
          <w:szCs w:val="22"/>
        </w:rPr>
        <w:t>6.5</w:t>
      </w:r>
      <w:r w:rsidR="001E6255" w:rsidRPr="001D52A0">
        <w:rPr>
          <w:rFonts w:asciiTheme="minorHAnsi" w:hAnsiTheme="minorHAnsi" w:cs="Arial"/>
          <w:sz w:val="22"/>
          <w:szCs w:val="22"/>
        </w:rPr>
        <w:t>%</w:t>
      </w:r>
      <w:r w:rsidR="004037FF" w:rsidRPr="001D52A0">
        <w:rPr>
          <w:rFonts w:asciiTheme="minorHAnsi" w:hAnsiTheme="minorHAnsi" w:cs="Arial"/>
          <w:sz w:val="22"/>
          <w:szCs w:val="22"/>
        </w:rPr>
        <w:t xml:space="preserve"> </w:t>
      </w:r>
      <w:r w:rsidR="00F924AF" w:rsidRPr="001D52A0">
        <w:rPr>
          <w:rFonts w:asciiTheme="minorHAnsi" w:hAnsiTheme="minorHAnsi" w:cs="Arial"/>
          <w:sz w:val="22"/>
          <w:szCs w:val="22"/>
        </w:rPr>
        <w:t>(</w:t>
      </w:r>
      <w:r w:rsidR="009A1781" w:rsidRPr="001D52A0">
        <w:rPr>
          <w:rFonts w:asciiTheme="minorHAnsi" w:hAnsiTheme="minorHAnsi" w:cs="Arial"/>
          <w:sz w:val="22"/>
          <w:szCs w:val="22"/>
        </w:rPr>
        <w:t>a mid-range forecast</w:t>
      </w:r>
      <w:r w:rsidR="00B513FD" w:rsidRPr="001D52A0">
        <w:rPr>
          <w:rFonts w:asciiTheme="minorHAnsi" w:hAnsiTheme="minorHAnsi" w:cs="Arial"/>
          <w:sz w:val="22"/>
          <w:szCs w:val="22"/>
        </w:rPr>
        <w:t xml:space="preserve"> from HM treasury</w:t>
      </w:r>
      <w:r w:rsidR="00F924AF" w:rsidRPr="001D52A0">
        <w:rPr>
          <w:rFonts w:asciiTheme="minorHAnsi" w:hAnsiTheme="minorHAnsi" w:cs="Arial"/>
          <w:sz w:val="22"/>
          <w:szCs w:val="22"/>
        </w:rPr>
        <w:t>)</w:t>
      </w:r>
      <w:r w:rsidR="009A1781" w:rsidRPr="001D52A0">
        <w:rPr>
          <w:rFonts w:asciiTheme="minorHAnsi" w:hAnsiTheme="minorHAnsi" w:cs="Arial"/>
          <w:sz w:val="22"/>
          <w:szCs w:val="22"/>
        </w:rPr>
        <w:t xml:space="preserve"> </w:t>
      </w:r>
      <w:r w:rsidR="004037FF" w:rsidRPr="001D52A0">
        <w:rPr>
          <w:rFonts w:asciiTheme="minorHAnsi" w:hAnsiTheme="minorHAnsi" w:cs="Arial"/>
          <w:sz w:val="22"/>
          <w:szCs w:val="22"/>
        </w:rPr>
        <w:t>has</w:t>
      </w:r>
      <w:r w:rsidR="00FE0062" w:rsidRPr="001D52A0">
        <w:rPr>
          <w:rFonts w:asciiTheme="minorHAnsi" w:hAnsiTheme="minorHAnsi" w:cs="Arial"/>
          <w:sz w:val="22"/>
          <w:szCs w:val="22"/>
        </w:rPr>
        <w:t xml:space="preserve"> </w:t>
      </w:r>
      <w:r w:rsidR="004037FF" w:rsidRPr="001D52A0">
        <w:rPr>
          <w:rFonts w:asciiTheme="minorHAnsi" w:hAnsiTheme="minorHAnsi" w:cs="Arial"/>
          <w:sz w:val="22"/>
          <w:szCs w:val="22"/>
        </w:rPr>
        <w:t xml:space="preserve">been applied to </w:t>
      </w:r>
      <w:r w:rsidR="0037655E" w:rsidRPr="001D52A0">
        <w:rPr>
          <w:rFonts w:asciiTheme="minorHAnsi" w:hAnsiTheme="minorHAnsi" w:cs="Arial"/>
          <w:sz w:val="22"/>
          <w:szCs w:val="22"/>
        </w:rPr>
        <w:t xml:space="preserve">contractor prices </w:t>
      </w:r>
      <w:r w:rsidR="004037FF" w:rsidRPr="001D52A0">
        <w:rPr>
          <w:rFonts w:asciiTheme="minorHAnsi" w:hAnsiTheme="minorHAnsi" w:cs="Arial"/>
          <w:sz w:val="22"/>
          <w:szCs w:val="22"/>
        </w:rPr>
        <w:t xml:space="preserve">where there is </w:t>
      </w:r>
      <w:r w:rsidR="00935EEF" w:rsidRPr="001D52A0">
        <w:rPr>
          <w:rFonts w:asciiTheme="minorHAnsi" w:hAnsiTheme="minorHAnsi" w:cs="Arial"/>
          <w:sz w:val="22"/>
          <w:szCs w:val="22"/>
        </w:rPr>
        <w:t xml:space="preserve">a </w:t>
      </w:r>
      <w:r w:rsidR="004037FF" w:rsidRPr="001D52A0">
        <w:rPr>
          <w:rFonts w:asciiTheme="minorHAnsi" w:hAnsiTheme="minorHAnsi" w:cs="Arial"/>
          <w:sz w:val="22"/>
          <w:szCs w:val="22"/>
        </w:rPr>
        <w:t>contractual indexation</w:t>
      </w:r>
      <w:r w:rsidR="00FE0062" w:rsidRPr="001D52A0">
        <w:rPr>
          <w:rFonts w:asciiTheme="minorHAnsi" w:hAnsiTheme="minorHAnsi" w:cs="Arial"/>
          <w:sz w:val="22"/>
          <w:szCs w:val="22"/>
        </w:rPr>
        <w:t xml:space="preserve"> requirement</w:t>
      </w:r>
      <w:r w:rsidR="004037FF" w:rsidRPr="001D52A0">
        <w:rPr>
          <w:rFonts w:asciiTheme="minorHAnsi" w:hAnsiTheme="minorHAnsi" w:cs="Arial"/>
          <w:sz w:val="22"/>
          <w:szCs w:val="22"/>
        </w:rPr>
        <w:t xml:space="preserve">. </w:t>
      </w:r>
      <w:r w:rsidR="009A1781" w:rsidRPr="001D52A0">
        <w:rPr>
          <w:rFonts w:asciiTheme="minorHAnsi" w:hAnsiTheme="minorHAnsi" w:cs="Arial"/>
          <w:sz w:val="22"/>
          <w:szCs w:val="22"/>
        </w:rPr>
        <w:t xml:space="preserve">Published forecasts including HM Treasury range from </w:t>
      </w:r>
      <w:r w:rsidR="00CB0886" w:rsidRPr="001D52A0">
        <w:rPr>
          <w:rFonts w:asciiTheme="minorHAnsi" w:hAnsiTheme="minorHAnsi" w:cs="Arial"/>
          <w:sz w:val="22"/>
          <w:szCs w:val="22"/>
        </w:rPr>
        <w:t>5.8</w:t>
      </w:r>
      <w:r w:rsidR="009A1781" w:rsidRPr="001D52A0">
        <w:rPr>
          <w:rFonts w:asciiTheme="minorHAnsi" w:hAnsiTheme="minorHAnsi" w:cs="Arial"/>
          <w:sz w:val="22"/>
          <w:szCs w:val="22"/>
        </w:rPr>
        <w:t xml:space="preserve">% to </w:t>
      </w:r>
      <w:r w:rsidR="00CB0886" w:rsidRPr="001D52A0">
        <w:rPr>
          <w:rFonts w:asciiTheme="minorHAnsi" w:hAnsiTheme="minorHAnsi" w:cs="Arial"/>
          <w:sz w:val="22"/>
          <w:szCs w:val="22"/>
        </w:rPr>
        <w:t>7.1</w:t>
      </w:r>
      <w:r w:rsidR="009A1781" w:rsidRPr="001D52A0">
        <w:rPr>
          <w:rFonts w:asciiTheme="minorHAnsi" w:hAnsiTheme="minorHAnsi" w:cs="Arial"/>
          <w:sz w:val="22"/>
          <w:szCs w:val="22"/>
        </w:rPr>
        <w:t>%</w:t>
      </w:r>
      <w:r w:rsidR="00B513FD" w:rsidRPr="001D52A0">
        <w:rPr>
          <w:rFonts w:asciiTheme="minorHAnsi" w:hAnsiTheme="minorHAnsi" w:cs="Arial"/>
          <w:sz w:val="22"/>
          <w:szCs w:val="22"/>
        </w:rPr>
        <w:t xml:space="preserve"> with </w:t>
      </w:r>
      <w:r w:rsidR="00F924AF" w:rsidRPr="001D52A0">
        <w:rPr>
          <w:rFonts w:asciiTheme="minorHAnsi" w:hAnsiTheme="minorHAnsi" w:cs="Arial"/>
          <w:sz w:val="22"/>
          <w:szCs w:val="22"/>
        </w:rPr>
        <w:t xml:space="preserve">Septembers </w:t>
      </w:r>
      <w:r w:rsidR="00B513FD" w:rsidRPr="001D52A0">
        <w:rPr>
          <w:rFonts w:asciiTheme="minorHAnsi" w:hAnsiTheme="minorHAnsi" w:cs="Arial"/>
          <w:sz w:val="22"/>
          <w:szCs w:val="22"/>
        </w:rPr>
        <w:t xml:space="preserve">RPIX standing at </w:t>
      </w:r>
      <w:r w:rsidR="00CB0886" w:rsidRPr="001D52A0">
        <w:rPr>
          <w:rFonts w:asciiTheme="minorHAnsi" w:hAnsiTheme="minorHAnsi" w:cs="Arial"/>
          <w:sz w:val="22"/>
          <w:szCs w:val="22"/>
        </w:rPr>
        <w:t>6.0</w:t>
      </w:r>
      <w:r w:rsidR="00B513FD" w:rsidRPr="001D52A0">
        <w:rPr>
          <w:rFonts w:asciiTheme="minorHAnsi" w:hAnsiTheme="minorHAnsi" w:cs="Arial"/>
          <w:sz w:val="22"/>
          <w:szCs w:val="22"/>
        </w:rPr>
        <w:t>%.</w:t>
      </w:r>
    </w:p>
    <w:p w14:paraId="44C0B6F2" w14:textId="61D6897D" w:rsidR="00B513FD" w:rsidRPr="001D52A0" w:rsidRDefault="009A1781" w:rsidP="00251AA2">
      <w:pPr>
        <w:numPr>
          <w:ilvl w:val="1"/>
          <w:numId w:val="13"/>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 xml:space="preserve">It is worth noting </w:t>
      </w:r>
      <w:r w:rsidR="004037FF" w:rsidRPr="001D52A0">
        <w:rPr>
          <w:rFonts w:asciiTheme="minorHAnsi" w:hAnsiTheme="minorHAnsi" w:cs="Arial"/>
          <w:sz w:val="22"/>
          <w:szCs w:val="22"/>
        </w:rPr>
        <w:t xml:space="preserve">that within the main PPP contract this impact is </w:t>
      </w:r>
      <w:r w:rsidR="0070519F" w:rsidRPr="001D52A0">
        <w:rPr>
          <w:rFonts w:asciiTheme="minorHAnsi" w:hAnsiTheme="minorHAnsi" w:cs="Arial"/>
          <w:sz w:val="22"/>
          <w:szCs w:val="22"/>
        </w:rPr>
        <w:t xml:space="preserve">partly </w:t>
      </w:r>
      <w:r w:rsidR="004037FF" w:rsidRPr="001D52A0">
        <w:rPr>
          <w:rFonts w:asciiTheme="minorHAnsi" w:hAnsiTheme="minorHAnsi" w:cs="Arial"/>
          <w:sz w:val="22"/>
          <w:szCs w:val="22"/>
        </w:rPr>
        <w:t>mitigated by the pricing mechanism which dampens the overall effect of inflation</w:t>
      </w:r>
      <w:r w:rsidRPr="001D52A0">
        <w:rPr>
          <w:rFonts w:asciiTheme="minorHAnsi" w:hAnsiTheme="minorHAnsi" w:cs="Arial"/>
          <w:sz w:val="22"/>
          <w:szCs w:val="22"/>
        </w:rPr>
        <w:t xml:space="preserve"> – a very effective feature of the contract</w:t>
      </w:r>
      <w:r w:rsidR="004037FF" w:rsidRPr="001D52A0">
        <w:rPr>
          <w:rFonts w:asciiTheme="minorHAnsi" w:hAnsiTheme="minorHAnsi" w:cs="Arial"/>
          <w:sz w:val="22"/>
          <w:szCs w:val="22"/>
        </w:rPr>
        <w:t xml:space="preserve">. </w:t>
      </w:r>
      <w:r w:rsidR="00251AA2" w:rsidRPr="001D52A0">
        <w:rPr>
          <w:rFonts w:asciiTheme="minorHAnsi" w:hAnsiTheme="minorHAnsi" w:cs="Arial"/>
          <w:sz w:val="22"/>
          <w:szCs w:val="22"/>
        </w:rPr>
        <w:t>Whilst the majority of the Authority’s contracts are impacted by inflation, the PPP contract with WLER has been designed so that it is protected from the significant increases in infl</w:t>
      </w:r>
      <w:r w:rsidR="00275669" w:rsidRPr="001D52A0">
        <w:rPr>
          <w:rFonts w:asciiTheme="minorHAnsi" w:hAnsiTheme="minorHAnsi" w:cs="Arial"/>
          <w:sz w:val="22"/>
          <w:szCs w:val="22"/>
        </w:rPr>
        <w:t>ation.  To put into context, a significant amount of tonnages are protected from the impact of inflation</w:t>
      </w:r>
      <w:r w:rsidR="00251AA2" w:rsidRPr="001D52A0">
        <w:rPr>
          <w:rFonts w:asciiTheme="minorHAnsi" w:hAnsiTheme="minorHAnsi" w:cs="Arial"/>
          <w:sz w:val="22"/>
          <w:szCs w:val="22"/>
        </w:rPr>
        <w:t xml:space="preserve"> over the whole life of the contract.  For 2024/25, the impact of inflation on this contract is 2.2% against the HM Treasury range of 5.8% to 7.1%.  </w:t>
      </w:r>
      <w:r w:rsidRPr="001D52A0">
        <w:rPr>
          <w:rFonts w:asciiTheme="minorHAnsi" w:hAnsiTheme="minorHAnsi" w:cs="Arial"/>
          <w:sz w:val="22"/>
          <w:szCs w:val="22"/>
        </w:rPr>
        <w:t xml:space="preserve">This is highlighted in the sensitivity analysis in section 20. </w:t>
      </w:r>
    </w:p>
    <w:p w14:paraId="181A0F98" w14:textId="41176D5E" w:rsidR="00B400FD" w:rsidRPr="001D52A0" w:rsidRDefault="00B400FD" w:rsidP="00251AA2">
      <w:pPr>
        <w:numPr>
          <w:ilvl w:val="1"/>
          <w:numId w:val="13"/>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The Lakeside contract against prior year’s budget sees a significant increase.  This is because the rate in 2023/24 was budgeted at £4.50 less than the actual, which is £0.4 million spend we have had to budget in 2024/25 as well as the additional inflation of 6.5%.</w:t>
      </w:r>
    </w:p>
    <w:p w14:paraId="30374CFD" w14:textId="77777777" w:rsidR="004037FF" w:rsidRPr="001D52A0" w:rsidRDefault="001C2F6F" w:rsidP="004E4209">
      <w:pPr>
        <w:numPr>
          <w:ilvl w:val="1"/>
          <w:numId w:val="13"/>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 xml:space="preserve">Where </w:t>
      </w:r>
      <w:r w:rsidR="00B513FD" w:rsidRPr="001D52A0">
        <w:rPr>
          <w:rFonts w:asciiTheme="minorHAnsi" w:hAnsiTheme="minorHAnsi" w:cs="Arial"/>
          <w:sz w:val="22"/>
          <w:szCs w:val="22"/>
        </w:rPr>
        <w:t xml:space="preserve">other </w:t>
      </w:r>
      <w:r w:rsidRPr="001D52A0">
        <w:rPr>
          <w:rFonts w:asciiTheme="minorHAnsi" w:hAnsiTheme="minorHAnsi" w:cs="Arial"/>
          <w:sz w:val="22"/>
          <w:szCs w:val="22"/>
        </w:rPr>
        <w:t>contracts are due for procurement</w:t>
      </w:r>
      <w:r w:rsidR="0037655E" w:rsidRPr="001D52A0">
        <w:rPr>
          <w:rFonts w:asciiTheme="minorHAnsi" w:hAnsiTheme="minorHAnsi" w:cs="Arial"/>
          <w:sz w:val="22"/>
          <w:szCs w:val="22"/>
        </w:rPr>
        <w:t>,</w:t>
      </w:r>
      <w:r w:rsidRPr="001D52A0">
        <w:rPr>
          <w:rFonts w:asciiTheme="minorHAnsi" w:hAnsiTheme="minorHAnsi" w:cs="Arial"/>
          <w:sz w:val="22"/>
          <w:szCs w:val="22"/>
        </w:rPr>
        <w:t xml:space="preserve"> procuring managers have used best available market information</w:t>
      </w:r>
      <w:r w:rsidR="0037655E" w:rsidRPr="001D52A0">
        <w:rPr>
          <w:rFonts w:asciiTheme="minorHAnsi" w:hAnsiTheme="minorHAnsi" w:cs="Arial"/>
          <w:sz w:val="22"/>
          <w:szCs w:val="22"/>
        </w:rPr>
        <w:t xml:space="preserve"> to estimate rates for the coming year</w:t>
      </w:r>
      <w:r w:rsidRPr="001D52A0">
        <w:rPr>
          <w:rFonts w:asciiTheme="minorHAnsi" w:hAnsiTheme="minorHAnsi" w:cs="Arial"/>
          <w:sz w:val="22"/>
          <w:szCs w:val="22"/>
        </w:rPr>
        <w:t xml:space="preserve">. </w:t>
      </w:r>
    </w:p>
    <w:p w14:paraId="54914F0A" w14:textId="73B6E4B7" w:rsidR="00C8559C" w:rsidRPr="001D52A0" w:rsidRDefault="00C8559C" w:rsidP="00CB655A">
      <w:pPr>
        <w:pStyle w:val="ListParagraph"/>
        <w:numPr>
          <w:ilvl w:val="0"/>
          <w:numId w:val="33"/>
        </w:numPr>
        <w:autoSpaceDE w:val="0"/>
        <w:autoSpaceDN w:val="0"/>
        <w:adjustRightInd w:val="0"/>
        <w:spacing w:before="240" w:after="120"/>
        <w:jc w:val="both"/>
        <w:rPr>
          <w:rFonts w:asciiTheme="minorHAnsi" w:hAnsiTheme="minorHAnsi"/>
          <w:b/>
        </w:rPr>
      </w:pPr>
      <w:r w:rsidRPr="001D52A0">
        <w:rPr>
          <w:rFonts w:asciiTheme="minorHAnsi" w:hAnsiTheme="minorHAnsi"/>
          <w:b/>
        </w:rPr>
        <w:t>Depreciation</w:t>
      </w:r>
    </w:p>
    <w:p w14:paraId="65921742" w14:textId="77777777" w:rsidR="001A15D1" w:rsidRPr="001D52A0" w:rsidRDefault="001A15D1" w:rsidP="004E4209">
      <w:pPr>
        <w:pStyle w:val="ListParagraph"/>
        <w:numPr>
          <w:ilvl w:val="0"/>
          <w:numId w:val="7"/>
        </w:numPr>
        <w:autoSpaceDE w:val="0"/>
        <w:autoSpaceDN w:val="0"/>
        <w:adjustRightInd w:val="0"/>
        <w:spacing w:before="240" w:after="120" w:line="240" w:lineRule="auto"/>
        <w:contextualSpacing w:val="0"/>
        <w:jc w:val="both"/>
        <w:rPr>
          <w:rFonts w:asciiTheme="minorHAnsi" w:eastAsia="Times New Roman" w:hAnsiTheme="minorHAnsi"/>
          <w:vanish/>
        </w:rPr>
      </w:pPr>
    </w:p>
    <w:p w14:paraId="30933D02" w14:textId="77777777" w:rsidR="001A15D1" w:rsidRPr="001D52A0" w:rsidRDefault="001A15D1" w:rsidP="004E4209">
      <w:pPr>
        <w:pStyle w:val="ListParagraph"/>
        <w:numPr>
          <w:ilvl w:val="0"/>
          <w:numId w:val="7"/>
        </w:numPr>
        <w:autoSpaceDE w:val="0"/>
        <w:autoSpaceDN w:val="0"/>
        <w:adjustRightInd w:val="0"/>
        <w:spacing w:before="240" w:after="120" w:line="240" w:lineRule="auto"/>
        <w:contextualSpacing w:val="0"/>
        <w:jc w:val="both"/>
        <w:rPr>
          <w:rFonts w:asciiTheme="minorHAnsi" w:eastAsia="Times New Roman" w:hAnsiTheme="minorHAnsi"/>
          <w:vanish/>
        </w:rPr>
      </w:pPr>
    </w:p>
    <w:p w14:paraId="1B983D23" w14:textId="462FDE0E" w:rsidR="00C8559C" w:rsidRPr="001D52A0" w:rsidRDefault="00C8559C" w:rsidP="004E4209">
      <w:pPr>
        <w:numPr>
          <w:ilvl w:val="1"/>
          <w:numId w:val="7"/>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The</w:t>
      </w:r>
      <w:r w:rsidR="001F200A" w:rsidRPr="001D52A0">
        <w:rPr>
          <w:rFonts w:asciiTheme="minorHAnsi" w:hAnsiTheme="minorHAnsi" w:cs="Arial"/>
          <w:sz w:val="22"/>
          <w:szCs w:val="22"/>
        </w:rPr>
        <w:t xml:space="preserve"> depreciation</w:t>
      </w:r>
      <w:r w:rsidRPr="001D52A0">
        <w:rPr>
          <w:rFonts w:asciiTheme="minorHAnsi" w:hAnsiTheme="minorHAnsi" w:cs="Arial"/>
          <w:sz w:val="22"/>
          <w:szCs w:val="22"/>
        </w:rPr>
        <w:t xml:space="preserve"> budge</w:t>
      </w:r>
      <w:r w:rsidR="001F200A" w:rsidRPr="001D52A0">
        <w:rPr>
          <w:rFonts w:asciiTheme="minorHAnsi" w:hAnsiTheme="minorHAnsi" w:cs="Arial"/>
          <w:sz w:val="22"/>
          <w:szCs w:val="22"/>
        </w:rPr>
        <w:t>ts</w:t>
      </w:r>
      <w:r w:rsidRPr="001D52A0">
        <w:rPr>
          <w:rFonts w:asciiTheme="minorHAnsi" w:hAnsiTheme="minorHAnsi" w:cs="Arial"/>
          <w:sz w:val="22"/>
          <w:szCs w:val="22"/>
        </w:rPr>
        <w:t xml:space="preserve"> for </w:t>
      </w:r>
      <w:r w:rsidR="00CB0886" w:rsidRPr="001D52A0">
        <w:rPr>
          <w:rFonts w:asciiTheme="minorHAnsi" w:hAnsiTheme="minorHAnsi" w:cs="Arial"/>
          <w:sz w:val="22"/>
          <w:szCs w:val="22"/>
        </w:rPr>
        <w:t>2024/25</w:t>
      </w:r>
      <w:r w:rsidRPr="001D52A0">
        <w:rPr>
          <w:rFonts w:asciiTheme="minorHAnsi" w:hAnsiTheme="minorHAnsi" w:cs="Arial"/>
          <w:sz w:val="22"/>
          <w:szCs w:val="22"/>
        </w:rPr>
        <w:t xml:space="preserve"> of £</w:t>
      </w:r>
      <w:r w:rsidR="00B513FD" w:rsidRPr="001D52A0">
        <w:rPr>
          <w:rFonts w:asciiTheme="minorHAnsi" w:hAnsiTheme="minorHAnsi" w:cs="Arial"/>
          <w:sz w:val="22"/>
          <w:szCs w:val="22"/>
        </w:rPr>
        <w:t>10.</w:t>
      </w:r>
      <w:r w:rsidR="00CB0886" w:rsidRPr="001D52A0">
        <w:rPr>
          <w:rFonts w:asciiTheme="minorHAnsi" w:hAnsiTheme="minorHAnsi" w:cs="Arial"/>
          <w:sz w:val="22"/>
          <w:szCs w:val="22"/>
        </w:rPr>
        <w:t>9</w:t>
      </w:r>
      <w:r w:rsidRPr="001D52A0">
        <w:rPr>
          <w:rFonts w:asciiTheme="minorHAnsi" w:hAnsiTheme="minorHAnsi" w:cs="Arial"/>
          <w:sz w:val="22"/>
          <w:szCs w:val="22"/>
        </w:rPr>
        <w:t xml:space="preserve"> million is £</w:t>
      </w:r>
      <w:r w:rsidR="00F94D0D" w:rsidRPr="001D52A0">
        <w:rPr>
          <w:rFonts w:asciiTheme="minorHAnsi" w:hAnsiTheme="minorHAnsi" w:cs="Arial"/>
          <w:sz w:val="22"/>
          <w:szCs w:val="22"/>
        </w:rPr>
        <w:t>0</w:t>
      </w:r>
      <w:r w:rsidRPr="001D52A0">
        <w:rPr>
          <w:rFonts w:asciiTheme="minorHAnsi" w:hAnsiTheme="minorHAnsi" w:cs="Arial"/>
          <w:sz w:val="22"/>
          <w:szCs w:val="22"/>
        </w:rPr>
        <w:t>.</w:t>
      </w:r>
      <w:r w:rsidR="00CB0886" w:rsidRPr="001D52A0">
        <w:rPr>
          <w:rFonts w:asciiTheme="minorHAnsi" w:hAnsiTheme="minorHAnsi" w:cs="Arial"/>
          <w:sz w:val="22"/>
          <w:szCs w:val="22"/>
        </w:rPr>
        <w:t>4</w:t>
      </w:r>
      <w:r w:rsidRPr="001D52A0">
        <w:rPr>
          <w:rFonts w:asciiTheme="minorHAnsi" w:hAnsiTheme="minorHAnsi" w:cs="Arial"/>
          <w:sz w:val="22"/>
          <w:szCs w:val="22"/>
        </w:rPr>
        <w:t xml:space="preserve"> million </w:t>
      </w:r>
      <w:r w:rsidR="007259D2" w:rsidRPr="001D52A0">
        <w:rPr>
          <w:rFonts w:asciiTheme="minorHAnsi" w:hAnsiTheme="minorHAnsi" w:cs="Arial"/>
          <w:sz w:val="22"/>
          <w:szCs w:val="22"/>
        </w:rPr>
        <w:t xml:space="preserve">higher </w:t>
      </w:r>
      <w:r w:rsidRPr="001D52A0">
        <w:rPr>
          <w:rFonts w:asciiTheme="minorHAnsi" w:hAnsiTheme="minorHAnsi" w:cs="Arial"/>
          <w:sz w:val="22"/>
          <w:szCs w:val="22"/>
        </w:rPr>
        <w:t xml:space="preserve">than in </w:t>
      </w:r>
      <w:r w:rsidR="00CB0886" w:rsidRPr="001D52A0">
        <w:rPr>
          <w:rFonts w:asciiTheme="minorHAnsi" w:hAnsiTheme="minorHAnsi" w:cs="Arial"/>
          <w:sz w:val="22"/>
          <w:szCs w:val="22"/>
        </w:rPr>
        <w:t>2023/24</w:t>
      </w:r>
      <w:r w:rsidRPr="001D52A0">
        <w:rPr>
          <w:rFonts w:asciiTheme="minorHAnsi" w:hAnsiTheme="minorHAnsi" w:cs="Arial"/>
          <w:sz w:val="22"/>
          <w:szCs w:val="22"/>
        </w:rPr>
        <w:t xml:space="preserve">. </w:t>
      </w:r>
      <w:r w:rsidR="00E15C82" w:rsidRPr="001D52A0">
        <w:rPr>
          <w:rFonts w:asciiTheme="minorHAnsi" w:hAnsiTheme="minorHAnsi" w:cs="Arial"/>
          <w:sz w:val="22"/>
          <w:szCs w:val="22"/>
        </w:rPr>
        <w:t>This principally</w:t>
      </w:r>
      <w:r w:rsidR="00201EB4" w:rsidRPr="001D52A0">
        <w:rPr>
          <w:rFonts w:asciiTheme="minorHAnsi" w:hAnsiTheme="minorHAnsi" w:cs="Arial"/>
          <w:sz w:val="22"/>
          <w:szCs w:val="22"/>
        </w:rPr>
        <w:t xml:space="preserve"> reflects property asset valuations and</w:t>
      </w:r>
      <w:r w:rsidRPr="001D52A0">
        <w:rPr>
          <w:rFonts w:asciiTheme="minorHAnsi" w:hAnsiTheme="minorHAnsi" w:cs="Arial"/>
          <w:sz w:val="22"/>
          <w:szCs w:val="22"/>
        </w:rPr>
        <w:t xml:space="preserve"> </w:t>
      </w:r>
      <w:r w:rsidR="001F200A" w:rsidRPr="001D52A0">
        <w:rPr>
          <w:rFonts w:asciiTheme="minorHAnsi" w:hAnsiTheme="minorHAnsi" w:cs="Arial"/>
          <w:sz w:val="22"/>
          <w:szCs w:val="22"/>
        </w:rPr>
        <w:t xml:space="preserve">capital </w:t>
      </w:r>
      <w:r w:rsidR="00201EB4" w:rsidRPr="001D52A0">
        <w:rPr>
          <w:rFonts w:asciiTheme="minorHAnsi" w:hAnsiTheme="minorHAnsi" w:cs="Arial"/>
          <w:sz w:val="22"/>
          <w:szCs w:val="22"/>
        </w:rPr>
        <w:t>additions.</w:t>
      </w:r>
    </w:p>
    <w:p w14:paraId="3A6E1F2A" w14:textId="77777777" w:rsidR="00C8559C" w:rsidRPr="001D52A0" w:rsidRDefault="00F94D0D" w:rsidP="004E4209">
      <w:pPr>
        <w:numPr>
          <w:ilvl w:val="1"/>
          <w:numId w:val="7"/>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The largest element of depreciation relates to the SERC</w:t>
      </w:r>
      <w:r w:rsidR="00B178D4" w:rsidRPr="001D52A0">
        <w:rPr>
          <w:rFonts w:asciiTheme="minorHAnsi" w:hAnsiTheme="minorHAnsi" w:cs="Arial"/>
          <w:sz w:val="22"/>
          <w:szCs w:val="22"/>
        </w:rPr>
        <w:t xml:space="preserve"> (</w:t>
      </w:r>
      <w:proofErr w:type="spellStart"/>
      <w:r w:rsidR="00B178D4" w:rsidRPr="001D52A0">
        <w:rPr>
          <w:rFonts w:asciiTheme="minorHAnsi" w:hAnsiTheme="minorHAnsi" w:cs="Arial"/>
          <w:sz w:val="22"/>
          <w:szCs w:val="22"/>
        </w:rPr>
        <w:t>Severnside</w:t>
      </w:r>
      <w:proofErr w:type="spellEnd"/>
      <w:r w:rsidR="00B178D4" w:rsidRPr="001D52A0">
        <w:rPr>
          <w:rFonts w:asciiTheme="minorHAnsi" w:hAnsiTheme="minorHAnsi" w:cs="Arial"/>
          <w:sz w:val="22"/>
          <w:szCs w:val="22"/>
        </w:rPr>
        <w:t xml:space="preserve"> Energy Recovery Centre)</w:t>
      </w:r>
      <w:r w:rsidRPr="001D52A0">
        <w:rPr>
          <w:rFonts w:asciiTheme="minorHAnsi" w:hAnsiTheme="minorHAnsi" w:cs="Arial"/>
          <w:sz w:val="22"/>
          <w:szCs w:val="22"/>
        </w:rPr>
        <w:t xml:space="preserve"> and totals </w:t>
      </w:r>
      <w:r w:rsidR="00996B90" w:rsidRPr="001D52A0">
        <w:rPr>
          <w:rFonts w:asciiTheme="minorHAnsi" w:hAnsiTheme="minorHAnsi" w:cs="Arial"/>
          <w:sz w:val="22"/>
          <w:szCs w:val="22"/>
        </w:rPr>
        <w:t>£</w:t>
      </w:r>
      <w:r w:rsidR="000B2C50" w:rsidRPr="001D52A0">
        <w:rPr>
          <w:rFonts w:asciiTheme="minorHAnsi" w:hAnsiTheme="minorHAnsi" w:cs="Arial"/>
          <w:sz w:val="22"/>
          <w:szCs w:val="22"/>
        </w:rPr>
        <w:t xml:space="preserve">9.2 </w:t>
      </w:r>
      <w:r w:rsidRPr="001D52A0">
        <w:rPr>
          <w:rFonts w:asciiTheme="minorHAnsi" w:hAnsiTheme="minorHAnsi" w:cs="Arial"/>
          <w:sz w:val="22"/>
          <w:szCs w:val="22"/>
        </w:rPr>
        <w:t xml:space="preserve">million. </w:t>
      </w:r>
      <w:r w:rsidR="00C8559C" w:rsidRPr="001D52A0">
        <w:rPr>
          <w:rFonts w:asciiTheme="minorHAnsi" w:hAnsiTheme="minorHAnsi" w:cs="Arial"/>
          <w:sz w:val="22"/>
          <w:szCs w:val="22"/>
        </w:rPr>
        <w:t xml:space="preserve">It should be noted that for depreciation calculations, the SERC has to be separated out into its main components and each key component has to be depreciated over its own expected life. </w:t>
      </w:r>
    </w:p>
    <w:p w14:paraId="2DAE519F" w14:textId="52CACEB1" w:rsidR="00C8559C" w:rsidRDefault="00C8559C" w:rsidP="004E4209">
      <w:pPr>
        <w:numPr>
          <w:ilvl w:val="1"/>
          <w:numId w:val="7"/>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 xml:space="preserve">Depreciation for the remaining assets have been calculated using </w:t>
      </w:r>
      <w:r w:rsidR="00B513FD" w:rsidRPr="001D52A0">
        <w:rPr>
          <w:rFonts w:asciiTheme="minorHAnsi" w:hAnsiTheme="minorHAnsi" w:cs="Arial"/>
          <w:sz w:val="22"/>
          <w:szCs w:val="22"/>
        </w:rPr>
        <w:t xml:space="preserve">valuations agreed with auditors and </w:t>
      </w:r>
      <w:r w:rsidRPr="001D52A0">
        <w:rPr>
          <w:rFonts w:asciiTheme="minorHAnsi" w:hAnsiTheme="minorHAnsi" w:cs="Arial"/>
          <w:sz w:val="22"/>
          <w:szCs w:val="22"/>
        </w:rPr>
        <w:t>subsequent change in the asset registers</w:t>
      </w:r>
      <w:r w:rsidR="00470D77" w:rsidRPr="001D52A0">
        <w:rPr>
          <w:rFonts w:asciiTheme="minorHAnsi" w:hAnsiTheme="minorHAnsi" w:cs="Arial"/>
          <w:sz w:val="22"/>
          <w:szCs w:val="22"/>
        </w:rPr>
        <w:t xml:space="preserve"> (i.e. additions and disposals)</w:t>
      </w:r>
      <w:r w:rsidRPr="001D52A0">
        <w:rPr>
          <w:rFonts w:asciiTheme="minorHAnsi" w:hAnsiTheme="minorHAnsi" w:cs="Arial"/>
          <w:sz w:val="22"/>
          <w:szCs w:val="22"/>
        </w:rPr>
        <w:t xml:space="preserve">. </w:t>
      </w:r>
    </w:p>
    <w:p w14:paraId="49682F2C" w14:textId="77777777" w:rsidR="00564701" w:rsidRPr="001D52A0" w:rsidRDefault="00564701" w:rsidP="00564701">
      <w:pPr>
        <w:autoSpaceDE w:val="0"/>
        <w:autoSpaceDN w:val="0"/>
        <w:adjustRightInd w:val="0"/>
        <w:spacing w:before="240" w:after="120"/>
        <w:ind w:left="360"/>
        <w:jc w:val="both"/>
        <w:rPr>
          <w:rFonts w:asciiTheme="minorHAnsi" w:hAnsiTheme="minorHAnsi" w:cs="Arial"/>
          <w:sz w:val="22"/>
          <w:szCs w:val="22"/>
        </w:rPr>
      </w:pPr>
    </w:p>
    <w:p w14:paraId="137DFF8E" w14:textId="77777777" w:rsidR="00D17742" w:rsidRPr="001D52A0" w:rsidRDefault="00E906A1" w:rsidP="00CB655A">
      <w:pPr>
        <w:numPr>
          <w:ilvl w:val="0"/>
          <w:numId w:val="33"/>
        </w:numPr>
        <w:autoSpaceDE w:val="0"/>
        <w:autoSpaceDN w:val="0"/>
        <w:adjustRightInd w:val="0"/>
        <w:spacing w:before="240" w:after="120"/>
        <w:jc w:val="both"/>
        <w:rPr>
          <w:rFonts w:asciiTheme="minorHAnsi" w:hAnsiTheme="minorHAnsi" w:cs="Arial"/>
          <w:b/>
          <w:sz w:val="22"/>
          <w:szCs w:val="22"/>
        </w:rPr>
      </w:pPr>
      <w:r w:rsidRPr="001D52A0">
        <w:rPr>
          <w:rFonts w:asciiTheme="minorHAnsi" w:hAnsiTheme="minorHAnsi" w:cs="Arial"/>
          <w:b/>
          <w:sz w:val="22"/>
          <w:szCs w:val="22"/>
        </w:rPr>
        <w:lastRenderedPageBreak/>
        <w:t>Financing</w:t>
      </w:r>
      <w:r w:rsidR="00075B7F" w:rsidRPr="001D52A0">
        <w:rPr>
          <w:rFonts w:asciiTheme="minorHAnsi" w:hAnsiTheme="minorHAnsi" w:cs="Arial"/>
          <w:b/>
          <w:sz w:val="22"/>
          <w:szCs w:val="22"/>
        </w:rPr>
        <w:t xml:space="preserve"> </w:t>
      </w:r>
    </w:p>
    <w:p w14:paraId="63C1A64D" w14:textId="77777777" w:rsidR="00E14A6B" w:rsidRPr="001D52A0" w:rsidRDefault="00E14A6B" w:rsidP="004E4209">
      <w:pPr>
        <w:pStyle w:val="ListParagraph"/>
        <w:numPr>
          <w:ilvl w:val="0"/>
          <w:numId w:val="8"/>
        </w:numPr>
        <w:autoSpaceDE w:val="0"/>
        <w:autoSpaceDN w:val="0"/>
        <w:adjustRightInd w:val="0"/>
        <w:spacing w:before="240" w:after="120" w:line="240" w:lineRule="auto"/>
        <w:contextualSpacing w:val="0"/>
        <w:jc w:val="both"/>
        <w:rPr>
          <w:rFonts w:asciiTheme="minorHAnsi" w:eastAsia="Times New Roman" w:hAnsiTheme="minorHAnsi"/>
          <w:vanish/>
        </w:rPr>
      </w:pPr>
    </w:p>
    <w:p w14:paraId="1715CF43" w14:textId="77777777" w:rsidR="00E14A6B" w:rsidRPr="001D52A0" w:rsidRDefault="00E14A6B" w:rsidP="004E4209">
      <w:pPr>
        <w:pStyle w:val="ListParagraph"/>
        <w:numPr>
          <w:ilvl w:val="0"/>
          <w:numId w:val="8"/>
        </w:numPr>
        <w:autoSpaceDE w:val="0"/>
        <w:autoSpaceDN w:val="0"/>
        <w:adjustRightInd w:val="0"/>
        <w:spacing w:before="240" w:after="120" w:line="240" w:lineRule="auto"/>
        <w:contextualSpacing w:val="0"/>
        <w:jc w:val="both"/>
        <w:rPr>
          <w:rFonts w:asciiTheme="minorHAnsi" w:eastAsia="Times New Roman" w:hAnsiTheme="minorHAnsi"/>
          <w:vanish/>
        </w:rPr>
      </w:pPr>
    </w:p>
    <w:p w14:paraId="3ABCF769" w14:textId="77777777" w:rsidR="00554418" w:rsidRPr="001D52A0" w:rsidRDefault="00554418" w:rsidP="004E4209">
      <w:pPr>
        <w:numPr>
          <w:ilvl w:val="1"/>
          <w:numId w:val="8"/>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 xml:space="preserve">The financing costs </w:t>
      </w:r>
      <w:r w:rsidR="001C2F6F" w:rsidRPr="001D52A0">
        <w:rPr>
          <w:rFonts w:asciiTheme="minorHAnsi" w:hAnsiTheme="minorHAnsi" w:cs="Arial"/>
          <w:sz w:val="22"/>
          <w:szCs w:val="22"/>
        </w:rPr>
        <w:t>reflect</w:t>
      </w:r>
      <w:r w:rsidR="00DF7968" w:rsidRPr="001D52A0">
        <w:rPr>
          <w:rFonts w:asciiTheme="minorHAnsi" w:hAnsiTheme="minorHAnsi" w:cs="Arial"/>
          <w:sz w:val="22"/>
          <w:szCs w:val="22"/>
        </w:rPr>
        <w:t xml:space="preserve"> the interest paid on</w:t>
      </w:r>
      <w:r w:rsidR="00A71000" w:rsidRPr="001D52A0">
        <w:rPr>
          <w:rFonts w:asciiTheme="minorHAnsi" w:hAnsiTheme="minorHAnsi" w:cs="Arial"/>
          <w:sz w:val="22"/>
          <w:szCs w:val="22"/>
        </w:rPr>
        <w:t xml:space="preserve"> loans</w:t>
      </w:r>
      <w:r w:rsidR="00DF7968" w:rsidRPr="001D52A0">
        <w:rPr>
          <w:rFonts w:asciiTheme="minorHAnsi" w:hAnsiTheme="minorHAnsi" w:cs="Arial"/>
          <w:sz w:val="22"/>
          <w:szCs w:val="22"/>
        </w:rPr>
        <w:t xml:space="preserve">. These </w:t>
      </w:r>
      <w:r w:rsidRPr="001D52A0">
        <w:rPr>
          <w:rFonts w:asciiTheme="minorHAnsi" w:hAnsiTheme="minorHAnsi" w:cs="Arial"/>
          <w:sz w:val="22"/>
          <w:szCs w:val="22"/>
        </w:rPr>
        <w:t xml:space="preserve">have </w:t>
      </w:r>
      <w:r w:rsidR="00DF7968" w:rsidRPr="001D52A0">
        <w:rPr>
          <w:rFonts w:asciiTheme="minorHAnsi" w:hAnsiTheme="minorHAnsi" w:cs="Arial"/>
          <w:sz w:val="22"/>
          <w:szCs w:val="22"/>
        </w:rPr>
        <w:t xml:space="preserve">reduced </w:t>
      </w:r>
      <w:r w:rsidRPr="001D52A0">
        <w:rPr>
          <w:rFonts w:asciiTheme="minorHAnsi" w:hAnsiTheme="minorHAnsi" w:cs="Arial"/>
          <w:sz w:val="22"/>
          <w:szCs w:val="22"/>
        </w:rPr>
        <w:t xml:space="preserve">from </w:t>
      </w:r>
      <w:r w:rsidR="00990C18" w:rsidRPr="001D52A0">
        <w:rPr>
          <w:rFonts w:asciiTheme="minorHAnsi" w:hAnsiTheme="minorHAnsi" w:cs="Arial"/>
          <w:sz w:val="22"/>
          <w:szCs w:val="22"/>
        </w:rPr>
        <w:t>£</w:t>
      </w:r>
      <w:r w:rsidR="000B2C50" w:rsidRPr="001D52A0">
        <w:rPr>
          <w:rFonts w:asciiTheme="minorHAnsi" w:hAnsiTheme="minorHAnsi" w:cs="Arial"/>
          <w:sz w:val="22"/>
          <w:szCs w:val="22"/>
        </w:rPr>
        <w:t>5.0</w:t>
      </w:r>
      <w:r w:rsidR="00990C18" w:rsidRPr="001D52A0">
        <w:rPr>
          <w:rFonts w:asciiTheme="minorHAnsi" w:hAnsiTheme="minorHAnsi" w:cs="Arial"/>
          <w:sz w:val="22"/>
          <w:szCs w:val="22"/>
        </w:rPr>
        <w:t xml:space="preserve"> million </w:t>
      </w:r>
      <w:r w:rsidR="0026012C" w:rsidRPr="001D52A0">
        <w:rPr>
          <w:rFonts w:asciiTheme="minorHAnsi" w:hAnsiTheme="minorHAnsi" w:cs="Arial"/>
          <w:sz w:val="22"/>
          <w:szCs w:val="22"/>
        </w:rPr>
        <w:t>in 20</w:t>
      </w:r>
      <w:r w:rsidR="001C2F6F" w:rsidRPr="001D52A0">
        <w:rPr>
          <w:rFonts w:asciiTheme="minorHAnsi" w:hAnsiTheme="minorHAnsi" w:cs="Arial"/>
          <w:sz w:val="22"/>
          <w:szCs w:val="22"/>
        </w:rPr>
        <w:t>2</w:t>
      </w:r>
      <w:r w:rsidR="000B2C50" w:rsidRPr="001D52A0">
        <w:rPr>
          <w:rFonts w:asciiTheme="minorHAnsi" w:hAnsiTheme="minorHAnsi" w:cs="Arial"/>
          <w:sz w:val="22"/>
          <w:szCs w:val="22"/>
        </w:rPr>
        <w:t>3/24</w:t>
      </w:r>
      <w:r w:rsidR="001328FD" w:rsidRPr="001D52A0">
        <w:rPr>
          <w:rFonts w:asciiTheme="minorHAnsi" w:hAnsiTheme="minorHAnsi" w:cs="Arial"/>
          <w:sz w:val="22"/>
          <w:szCs w:val="22"/>
        </w:rPr>
        <w:t xml:space="preserve"> </w:t>
      </w:r>
      <w:r w:rsidR="000B2C50" w:rsidRPr="001D52A0">
        <w:rPr>
          <w:rFonts w:asciiTheme="minorHAnsi" w:hAnsiTheme="minorHAnsi" w:cs="Arial"/>
          <w:sz w:val="22"/>
          <w:szCs w:val="22"/>
        </w:rPr>
        <w:t xml:space="preserve">to £4.8 </w:t>
      </w:r>
      <w:r w:rsidR="00990C18" w:rsidRPr="001D52A0">
        <w:rPr>
          <w:rFonts w:asciiTheme="minorHAnsi" w:hAnsiTheme="minorHAnsi" w:cs="Arial"/>
          <w:sz w:val="22"/>
          <w:szCs w:val="22"/>
        </w:rPr>
        <w:t xml:space="preserve">million </w:t>
      </w:r>
      <w:r w:rsidR="00701130" w:rsidRPr="001D52A0">
        <w:rPr>
          <w:rFonts w:asciiTheme="minorHAnsi" w:hAnsiTheme="minorHAnsi" w:cs="Arial"/>
          <w:sz w:val="22"/>
          <w:szCs w:val="22"/>
        </w:rPr>
        <w:t>for 202</w:t>
      </w:r>
      <w:r w:rsidR="000B2C50" w:rsidRPr="001D52A0">
        <w:rPr>
          <w:rFonts w:asciiTheme="minorHAnsi" w:hAnsiTheme="minorHAnsi" w:cs="Arial"/>
          <w:sz w:val="22"/>
          <w:szCs w:val="22"/>
        </w:rPr>
        <w:t>4/25</w:t>
      </w:r>
      <w:r w:rsidR="001328FD" w:rsidRPr="001D52A0">
        <w:rPr>
          <w:rFonts w:asciiTheme="minorHAnsi" w:hAnsiTheme="minorHAnsi" w:cs="Arial"/>
          <w:sz w:val="22"/>
          <w:szCs w:val="22"/>
        </w:rPr>
        <w:t xml:space="preserve"> </w:t>
      </w:r>
      <w:r w:rsidR="00990C18" w:rsidRPr="001D52A0">
        <w:rPr>
          <w:rFonts w:asciiTheme="minorHAnsi" w:hAnsiTheme="minorHAnsi" w:cs="Arial"/>
          <w:sz w:val="22"/>
          <w:szCs w:val="22"/>
        </w:rPr>
        <w:t xml:space="preserve">primarily as a result of the </w:t>
      </w:r>
      <w:r w:rsidR="00DF7968" w:rsidRPr="001D52A0">
        <w:rPr>
          <w:rFonts w:asciiTheme="minorHAnsi" w:hAnsiTheme="minorHAnsi" w:cs="Arial"/>
          <w:sz w:val="22"/>
          <w:szCs w:val="22"/>
        </w:rPr>
        <w:t>payment profile of repayment</w:t>
      </w:r>
      <w:r w:rsidR="00A71000" w:rsidRPr="001D52A0">
        <w:rPr>
          <w:rFonts w:asciiTheme="minorHAnsi" w:hAnsiTheme="minorHAnsi" w:cs="Arial"/>
          <w:sz w:val="22"/>
          <w:szCs w:val="22"/>
        </w:rPr>
        <w:t xml:space="preserve"> loans</w:t>
      </w:r>
      <w:r w:rsidR="00DF7968" w:rsidRPr="001D52A0">
        <w:rPr>
          <w:rFonts w:asciiTheme="minorHAnsi" w:hAnsiTheme="minorHAnsi" w:cs="Arial"/>
          <w:sz w:val="22"/>
          <w:szCs w:val="22"/>
        </w:rPr>
        <w:t>. With repayment loans a fixed sum is paid every year comprising of both interest and princip</w:t>
      </w:r>
      <w:r w:rsidR="00B84589" w:rsidRPr="001D52A0">
        <w:rPr>
          <w:rFonts w:asciiTheme="minorHAnsi" w:hAnsiTheme="minorHAnsi" w:cs="Arial"/>
          <w:sz w:val="22"/>
          <w:szCs w:val="22"/>
        </w:rPr>
        <w:t>al</w:t>
      </w:r>
      <w:r w:rsidR="00DF7968" w:rsidRPr="001D52A0">
        <w:rPr>
          <w:rFonts w:asciiTheme="minorHAnsi" w:hAnsiTheme="minorHAnsi" w:cs="Arial"/>
          <w:sz w:val="22"/>
          <w:szCs w:val="22"/>
        </w:rPr>
        <w:t xml:space="preserve"> repayment. The interest element will continue to fall over coming years, conversely the princip</w:t>
      </w:r>
      <w:r w:rsidR="00B84589" w:rsidRPr="001D52A0">
        <w:rPr>
          <w:rFonts w:asciiTheme="minorHAnsi" w:hAnsiTheme="minorHAnsi" w:cs="Arial"/>
          <w:sz w:val="22"/>
          <w:szCs w:val="22"/>
        </w:rPr>
        <w:t>al</w:t>
      </w:r>
      <w:r w:rsidR="00DF7968" w:rsidRPr="001D52A0">
        <w:rPr>
          <w:rFonts w:asciiTheme="minorHAnsi" w:hAnsiTheme="minorHAnsi" w:cs="Arial"/>
          <w:sz w:val="22"/>
          <w:szCs w:val="22"/>
        </w:rPr>
        <w:t xml:space="preserve"> repayment will rise.</w:t>
      </w:r>
    </w:p>
    <w:p w14:paraId="7E6C4837" w14:textId="77777777" w:rsidR="005C5D91" w:rsidRPr="001D52A0" w:rsidRDefault="00554418" w:rsidP="004E4209">
      <w:pPr>
        <w:numPr>
          <w:ilvl w:val="1"/>
          <w:numId w:val="8"/>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 xml:space="preserve">The largest component of </w:t>
      </w:r>
      <w:r w:rsidR="0042660E" w:rsidRPr="001D52A0">
        <w:rPr>
          <w:rFonts w:asciiTheme="minorHAnsi" w:hAnsiTheme="minorHAnsi" w:cs="Arial"/>
          <w:sz w:val="22"/>
          <w:szCs w:val="22"/>
        </w:rPr>
        <w:t xml:space="preserve">financing costs </w:t>
      </w:r>
      <w:r w:rsidRPr="001D52A0">
        <w:rPr>
          <w:rFonts w:asciiTheme="minorHAnsi" w:hAnsiTheme="minorHAnsi" w:cs="Arial"/>
          <w:sz w:val="22"/>
          <w:szCs w:val="22"/>
        </w:rPr>
        <w:t>relate</w:t>
      </w:r>
      <w:r w:rsidR="00470D77" w:rsidRPr="001D52A0">
        <w:rPr>
          <w:rFonts w:asciiTheme="minorHAnsi" w:hAnsiTheme="minorHAnsi" w:cs="Arial"/>
          <w:sz w:val="22"/>
          <w:szCs w:val="22"/>
        </w:rPr>
        <w:t>s</w:t>
      </w:r>
      <w:r w:rsidRPr="001D52A0">
        <w:rPr>
          <w:rFonts w:asciiTheme="minorHAnsi" w:hAnsiTheme="minorHAnsi" w:cs="Arial"/>
          <w:sz w:val="22"/>
          <w:szCs w:val="22"/>
        </w:rPr>
        <w:t xml:space="preserve"> to borrowing </w:t>
      </w:r>
      <w:r w:rsidR="00F76350" w:rsidRPr="001D52A0">
        <w:rPr>
          <w:rFonts w:asciiTheme="minorHAnsi" w:hAnsiTheme="minorHAnsi" w:cs="Arial"/>
          <w:sz w:val="22"/>
          <w:szCs w:val="22"/>
        </w:rPr>
        <w:t xml:space="preserve">from boroughs </w:t>
      </w:r>
      <w:r w:rsidRPr="001D52A0">
        <w:rPr>
          <w:rFonts w:asciiTheme="minorHAnsi" w:hAnsiTheme="minorHAnsi" w:cs="Arial"/>
          <w:sz w:val="22"/>
          <w:szCs w:val="22"/>
        </w:rPr>
        <w:t>for the construction of the SERC and totals £</w:t>
      </w:r>
      <w:r w:rsidR="00470D77" w:rsidRPr="001D52A0">
        <w:rPr>
          <w:rFonts w:asciiTheme="minorHAnsi" w:hAnsiTheme="minorHAnsi" w:cs="Arial"/>
          <w:sz w:val="22"/>
          <w:szCs w:val="22"/>
        </w:rPr>
        <w:t>4.</w:t>
      </w:r>
      <w:r w:rsidR="00E45206" w:rsidRPr="001D52A0">
        <w:rPr>
          <w:rFonts w:asciiTheme="minorHAnsi" w:hAnsiTheme="minorHAnsi" w:cs="Arial"/>
          <w:sz w:val="22"/>
          <w:szCs w:val="22"/>
        </w:rPr>
        <w:t>4</w:t>
      </w:r>
      <w:r w:rsidR="001328FD" w:rsidRPr="001D52A0">
        <w:rPr>
          <w:rFonts w:asciiTheme="minorHAnsi" w:hAnsiTheme="minorHAnsi" w:cs="Arial"/>
          <w:sz w:val="22"/>
          <w:szCs w:val="22"/>
        </w:rPr>
        <w:t xml:space="preserve"> </w:t>
      </w:r>
      <w:r w:rsidRPr="001D52A0">
        <w:rPr>
          <w:rFonts w:asciiTheme="minorHAnsi" w:hAnsiTheme="minorHAnsi" w:cs="Arial"/>
          <w:sz w:val="22"/>
          <w:szCs w:val="22"/>
        </w:rPr>
        <w:t>m</w:t>
      </w:r>
      <w:r w:rsidR="001328FD" w:rsidRPr="001D52A0">
        <w:rPr>
          <w:rFonts w:asciiTheme="minorHAnsi" w:hAnsiTheme="minorHAnsi" w:cs="Arial"/>
          <w:sz w:val="22"/>
          <w:szCs w:val="22"/>
        </w:rPr>
        <w:t>illion.</w:t>
      </w:r>
      <w:r w:rsidRPr="001D52A0">
        <w:rPr>
          <w:rFonts w:asciiTheme="minorHAnsi" w:hAnsiTheme="minorHAnsi" w:cs="Arial"/>
          <w:sz w:val="22"/>
          <w:szCs w:val="22"/>
        </w:rPr>
        <w:t xml:space="preserve"> </w:t>
      </w:r>
      <w:r w:rsidR="000D2103" w:rsidRPr="001D52A0">
        <w:rPr>
          <w:rFonts w:asciiTheme="minorHAnsi" w:hAnsiTheme="minorHAnsi" w:cs="Arial"/>
          <w:sz w:val="22"/>
          <w:szCs w:val="22"/>
        </w:rPr>
        <w:t>The loans are at arm’s length and from a borrowing perspective the boroughs are like any other lender with the loan agreements specifying the relationship</w:t>
      </w:r>
      <w:r w:rsidR="00884198" w:rsidRPr="001D52A0">
        <w:rPr>
          <w:rFonts w:asciiTheme="minorHAnsi" w:hAnsiTheme="minorHAnsi" w:cs="Arial"/>
          <w:sz w:val="22"/>
          <w:szCs w:val="22"/>
        </w:rPr>
        <w:t xml:space="preserve"> with the Authority</w:t>
      </w:r>
      <w:r w:rsidR="005C5D91" w:rsidRPr="001D52A0">
        <w:rPr>
          <w:rFonts w:asciiTheme="minorHAnsi" w:hAnsiTheme="minorHAnsi" w:cs="Arial"/>
          <w:sz w:val="22"/>
          <w:szCs w:val="22"/>
        </w:rPr>
        <w:t xml:space="preserve"> </w:t>
      </w:r>
      <w:r w:rsidR="00B0280E" w:rsidRPr="001D52A0">
        <w:rPr>
          <w:rFonts w:asciiTheme="minorHAnsi" w:hAnsiTheme="minorHAnsi" w:cs="Arial"/>
          <w:sz w:val="22"/>
          <w:szCs w:val="22"/>
        </w:rPr>
        <w:t xml:space="preserve">and </w:t>
      </w:r>
      <w:r w:rsidR="005C5D91" w:rsidRPr="001D52A0">
        <w:rPr>
          <w:rFonts w:asciiTheme="minorHAnsi" w:hAnsiTheme="minorHAnsi" w:cs="Arial"/>
          <w:sz w:val="22"/>
          <w:szCs w:val="22"/>
        </w:rPr>
        <w:t xml:space="preserve">including a rate of interest of 7.604%. </w:t>
      </w:r>
    </w:p>
    <w:p w14:paraId="1B1B545A" w14:textId="77777777" w:rsidR="0026012C" w:rsidRPr="001D52A0" w:rsidRDefault="0026012C" w:rsidP="004E4209">
      <w:pPr>
        <w:numPr>
          <w:ilvl w:val="1"/>
          <w:numId w:val="8"/>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 xml:space="preserve">The </w:t>
      </w:r>
      <w:r w:rsidR="00DF7968" w:rsidRPr="001D52A0">
        <w:rPr>
          <w:rFonts w:asciiTheme="minorHAnsi" w:hAnsiTheme="minorHAnsi" w:cs="Arial"/>
          <w:sz w:val="22"/>
          <w:szCs w:val="22"/>
        </w:rPr>
        <w:t xml:space="preserve">interest on loans for the purchase of transfer station freeholds </w:t>
      </w:r>
      <w:r w:rsidR="00034D8B" w:rsidRPr="001D52A0">
        <w:rPr>
          <w:rFonts w:asciiTheme="minorHAnsi" w:hAnsiTheme="minorHAnsi" w:cs="Arial"/>
          <w:sz w:val="22"/>
          <w:szCs w:val="22"/>
        </w:rPr>
        <w:t xml:space="preserve">makes up </w:t>
      </w:r>
      <w:r w:rsidR="00DF7968" w:rsidRPr="001D52A0">
        <w:rPr>
          <w:rFonts w:asciiTheme="minorHAnsi" w:hAnsiTheme="minorHAnsi" w:cs="Arial"/>
          <w:sz w:val="22"/>
          <w:szCs w:val="22"/>
        </w:rPr>
        <w:t>the balance</w:t>
      </w:r>
      <w:r w:rsidR="00034D8B" w:rsidRPr="001D52A0">
        <w:rPr>
          <w:rFonts w:asciiTheme="minorHAnsi" w:hAnsiTheme="minorHAnsi" w:cs="Arial"/>
          <w:sz w:val="22"/>
          <w:szCs w:val="22"/>
        </w:rPr>
        <w:t xml:space="preserve"> of £0.</w:t>
      </w:r>
      <w:r w:rsidR="00E45206" w:rsidRPr="001D52A0">
        <w:rPr>
          <w:rFonts w:asciiTheme="minorHAnsi" w:hAnsiTheme="minorHAnsi" w:cs="Arial"/>
          <w:sz w:val="22"/>
          <w:szCs w:val="22"/>
        </w:rPr>
        <w:t>4</w:t>
      </w:r>
      <w:r w:rsidR="00034D8B" w:rsidRPr="001D52A0">
        <w:rPr>
          <w:rFonts w:asciiTheme="minorHAnsi" w:hAnsiTheme="minorHAnsi" w:cs="Arial"/>
          <w:sz w:val="22"/>
          <w:szCs w:val="22"/>
        </w:rPr>
        <w:t xml:space="preserve"> million a</w:t>
      </w:r>
      <w:r w:rsidR="00EB7EC8" w:rsidRPr="001D52A0">
        <w:rPr>
          <w:rFonts w:asciiTheme="minorHAnsi" w:hAnsiTheme="minorHAnsi" w:cs="Arial"/>
          <w:sz w:val="22"/>
          <w:szCs w:val="22"/>
        </w:rPr>
        <w:t>nd</w:t>
      </w:r>
      <w:r w:rsidR="00034D8B" w:rsidRPr="001D52A0">
        <w:rPr>
          <w:rFonts w:asciiTheme="minorHAnsi" w:hAnsiTheme="minorHAnsi" w:cs="Arial"/>
          <w:sz w:val="22"/>
          <w:szCs w:val="22"/>
        </w:rPr>
        <w:t xml:space="preserve"> represents a PWLB loan at 2.24%</w:t>
      </w:r>
      <w:r w:rsidR="00313F06" w:rsidRPr="001D52A0">
        <w:rPr>
          <w:rFonts w:asciiTheme="minorHAnsi" w:hAnsiTheme="minorHAnsi" w:cs="Arial"/>
          <w:sz w:val="22"/>
          <w:szCs w:val="22"/>
        </w:rPr>
        <w:t>.</w:t>
      </w:r>
      <w:r w:rsidR="00D70A81" w:rsidRPr="001D52A0">
        <w:rPr>
          <w:rFonts w:asciiTheme="minorHAnsi" w:hAnsiTheme="minorHAnsi" w:cs="Arial"/>
          <w:sz w:val="22"/>
          <w:szCs w:val="22"/>
        </w:rPr>
        <w:t xml:space="preserve"> </w:t>
      </w:r>
    </w:p>
    <w:p w14:paraId="027FC99B" w14:textId="77777777" w:rsidR="00D179CE" w:rsidRPr="001D52A0" w:rsidRDefault="00D179CE" w:rsidP="00CB655A">
      <w:pPr>
        <w:numPr>
          <w:ilvl w:val="0"/>
          <w:numId w:val="33"/>
        </w:numPr>
        <w:autoSpaceDE w:val="0"/>
        <w:autoSpaceDN w:val="0"/>
        <w:adjustRightInd w:val="0"/>
        <w:spacing w:before="240" w:after="120"/>
        <w:jc w:val="both"/>
        <w:rPr>
          <w:rFonts w:asciiTheme="minorHAnsi" w:hAnsiTheme="minorHAnsi" w:cs="Arial"/>
          <w:b/>
          <w:sz w:val="22"/>
          <w:szCs w:val="22"/>
          <w:lang w:eastAsia="en-GB"/>
        </w:rPr>
      </w:pPr>
      <w:r w:rsidRPr="001D52A0">
        <w:rPr>
          <w:rFonts w:asciiTheme="minorHAnsi" w:hAnsiTheme="minorHAnsi" w:cs="Arial"/>
          <w:b/>
          <w:sz w:val="22"/>
          <w:szCs w:val="22"/>
          <w:lang w:eastAsia="en-GB"/>
        </w:rPr>
        <w:t xml:space="preserve">Premises </w:t>
      </w:r>
    </w:p>
    <w:p w14:paraId="7B65E8AA" w14:textId="32EB4668" w:rsidR="00E14A6B" w:rsidRPr="001D52A0" w:rsidRDefault="00D179CE" w:rsidP="004E4209">
      <w:pPr>
        <w:numPr>
          <w:ilvl w:val="1"/>
          <w:numId w:val="15"/>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 xml:space="preserve">The </w:t>
      </w:r>
      <w:r w:rsidR="00AD01AD" w:rsidRPr="001D52A0">
        <w:rPr>
          <w:rFonts w:asciiTheme="minorHAnsi" w:hAnsiTheme="minorHAnsi" w:cs="Arial"/>
          <w:sz w:val="22"/>
          <w:szCs w:val="22"/>
        </w:rPr>
        <w:t xml:space="preserve">overall </w:t>
      </w:r>
      <w:r w:rsidR="001F200A" w:rsidRPr="001D52A0">
        <w:rPr>
          <w:rFonts w:asciiTheme="minorHAnsi" w:hAnsiTheme="minorHAnsi" w:cs="Arial"/>
          <w:sz w:val="22"/>
          <w:szCs w:val="22"/>
        </w:rPr>
        <w:t xml:space="preserve">premises </w:t>
      </w:r>
      <w:r w:rsidRPr="001D52A0">
        <w:rPr>
          <w:rFonts w:asciiTheme="minorHAnsi" w:hAnsiTheme="minorHAnsi" w:cs="Arial"/>
          <w:sz w:val="22"/>
          <w:szCs w:val="22"/>
        </w:rPr>
        <w:t>budget</w:t>
      </w:r>
      <w:r w:rsidR="00AD01AD" w:rsidRPr="001D52A0">
        <w:rPr>
          <w:rFonts w:asciiTheme="minorHAnsi" w:hAnsiTheme="minorHAnsi" w:cs="Arial"/>
          <w:sz w:val="22"/>
          <w:szCs w:val="22"/>
        </w:rPr>
        <w:t>s</w:t>
      </w:r>
      <w:r w:rsidRPr="001D52A0">
        <w:rPr>
          <w:rFonts w:asciiTheme="minorHAnsi" w:hAnsiTheme="minorHAnsi" w:cs="Arial"/>
          <w:sz w:val="22"/>
          <w:szCs w:val="22"/>
        </w:rPr>
        <w:t xml:space="preserve"> for 20</w:t>
      </w:r>
      <w:r w:rsidR="00F359FE" w:rsidRPr="001D52A0">
        <w:rPr>
          <w:rFonts w:asciiTheme="minorHAnsi" w:hAnsiTheme="minorHAnsi" w:cs="Arial"/>
          <w:sz w:val="22"/>
          <w:szCs w:val="22"/>
        </w:rPr>
        <w:t>2</w:t>
      </w:r>
      <w:r w:rsidR="00421FB1" w:rsidRPr="001D52A0">
        <w:rPr>
          <w:rFonts w:asciiTheme="minorHAnsi" w:hAnsiTheme="minorHAnsi" w:cs="Arial"/>
          <w:sz w:val="22"/>
          <w:szCs w:val="22"/>
        </w:rPr>
        <w:t>4</w:t>
      </w:r>
      <w:r w:rsidRPr="001D52A0">
        <w:rPr>
          <w:rFonts w:asciiTheme="minorHAnsi" w:hAnsiTheme="minorHAnsi" w:cs="Arial"/>
          <w:sz w:val="22"/>
          <w:szCs w:val="22"/>
        </w:rPr>
        <w:t>/</w:t>
      </w:r>
      <w:r w:rsidR="007E605E" w:rsidRPr="001D52A0">
        <w:rPr>
          <w:rFonts w:asciiTheme="minorHAnsi" w:hAnsiTheme="minorHAnsi" w:cs="Arial"/>
          <w:sz w:val="22"/>
          <w:szCs w:val="22"/>
        </w:rPr>
        <w:t>2</w:t>
      </w:r>
      <w:r w:rsidR="00421FB1" w:rsidRPr="001D52A0">
        <w:rPr>
          <w:rFonts w:asciiTheme="minorHAnsi" w:hAnsiTheme="minorHAnsi" w:cs="Arial"/>
          <w:sz w:val="22"/>
          <w:szCs w:val="22"/>
        </w:rPr>
        <w:t>5</w:t>
      </w:r>
      <w:r w:rsidRPr="001D52A0">
        <w:rPr>
          <w:rFonts w:asciiTheme="minorHAnsi" w:hAnsiTheme="minorHAnsi" w:cs="Arial"/>
          <w:sz w:val="22"/>
          <w:szCs w:val="22"/>
        </w:rPr>
        <w:t xml:space="preserve"> of £</w:t>
      </w:r>
      <w:r w:rsidR="00421FB1" w:rsidRPr="001D52A0">
        <w:rPr>
          <w:rFonts w:asciiTheme="minorHAnsi" w:hAnsiTheme="minorHAnsi" w:cs="Arial"/>
          <w:sz w:val="22"/>
          <w:szCs w:val="22"/>
        </w:rPr>
        <w:t>3.8</w:t>
      </w:r>
      <w:r w:rsidRPr="001D52A0">
        <w:rPr>
          <w:rFonts w:asciiTheme="minorHAnsi" w:hAnsiTheme="minorHAnsi" w:cs="Arial"/>
          <w:sz w:val="22"/>
          <w:szCs w:val="22"/>
        </w:rPr>
        <w:t xml:space="preserve"> million </w:t>
      </w:r>
      <w:r w:rsidR="00AD01AD" w:rsidRPr="001D52A0">
        <w:rPr>
          <w:rFonts w:asciiTheme="minorHAnsi" w:hAnsiTheme="minorHAnsi" w:cs="Arial"/>
          <w:sz w:val="22"/>
          <w:szCs w:val="22"/>
        </w:rPr>
        <w:t>are</w:t>
      </w:r>
      <w:r w:rsidRPr="001D52A0">
        <w:rPr>
          <w:rFonts w:asciiTheme="minorHAnsi" w:hAnsiTheme="minorHAnsi" w:cs="Arial"/>
          <w:sz w:val="22"/>
          <w:szCs w:val="22"/>
        </w:rPr>
        <w:t xml:space="preserve"> </w:t>
      </w:r>
      <w:r w:rsidR="00421FB1" w:rsidRPr="001D52A0">
        <w:rPr>
          <w:rFonts w:asciiTheme="minorHAnsi" w:hAnsiTheme="minorHAnsi" w:cs="Arial"/>
          <w:sz w:val="22"/>
          <w:szCs w:val="22"/>
        </w:rPr>
        <w:t>higher than the cost of £2.7 million in 2023/24.  This is reflective of the budget for 2023/24 being significantly lower to the forecast of £3.5 million due to higher than budgeted business rates following a valuation.  This meant that in 2023/24, business rates were on average 38% higher than budgeted</w:t>
      </w:r>
      <w:r w:rsidR="00B3446E" w:rsidRPr="001D52A0">
        <w:rPr>
          <w:rFonts w:asciiTheme="minorHAnsi" w:hAnsiTheme="minorHAnsi" w:cs="Arial"/>
          <w:sz w:val="22"/>
          <w:szCs w:val="22"/>
        </w:rPr>
        <w:t xml:space="preserve"> (£0.86 million)</w:t>
      </w:r>
      <w:r w:rsidR="00421FB1" w:rsidRPr="001D52A0">
        <w:rPr>
          <w:rFonts w:asciiTheme="minorHAnsi" w:hAnsiTheme="minorHAnsi" w:cs="Arial"/>
          <w:sz w:val="22"/>
          <w:szCs w:val="22"/>
        </w:rPr>
        <w:t>.  The 2024/25 budget for premises takes this into account, and has applied a small increase.</w:t>
      </w:r>
    </w:p>
    <w:p w14:paraId="0F9BCC28" w14:textId="26692CC8" w:rsidR="007E605E" w:rsidRPr="001D52A0" w:rsidRDefault="007E605E" w:rsidP="004E4209">
      <w:pPr>
        <w:numPr>
          <w:ilvl w:val="1"/>
          <w:numId w:val="15"/>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 xml:space="preserve">The largest component of the premises costs are business rates which account </w:t>
      </w:r>
      <w:r w:rsidR="00F76350" w:rsidRPr="001D52A0">
        <w:rPr>
          <w:rFonts w:asciiTheme="minorHAnsi" w:hAnsiTheme="minorHAnsi" w:cs="Arial"/>
          <w:sz w:val="22"/>
          <w:szCs w:val="22"/>
        </w:rPr>
        <w:t>for £</w:t>
      </w:r>
      <w:r w:rsidR="00421FB1" w:rsidRPr="001D52A0">
        <w:rPr>
          <w:rFonts w:asciiTheme="minorHAnsi" w:hAnsiTheme="minorHAnsi" w:cs="Arial"/>
          <w:sz w:val="22"/>
          <w:szCs w:val="22"/>
        </w:rPr>
        <w:t>3</w:t>
      </w:r>
      <w:r w:rsidR="00F76350" w:rsidRPr="001D52A0">
        <w:rPr>
          <w:rFonts w:asciiTheme="minorHAnsi" w:hAnsiTheme="minorHAnsi" w:cs="Arial"/>
          <w:sz w:val="22"/>
          <w:szCs w:val="22"/>
        </w:rPr>
        <w:t>.</w:t>
      </w:r>
      <w:r w:rsidR="00421FB1" w:rsidRPr="001D52A0">
        <w:rPr>
          <w:rFonts w:asciiTheme="minorHAnsi" w:hAnsiTheme="minorHAnsi" w:cs="Arial"/>
          <w:sz w:val="22"/>
          <w:szCs w:val="22"/>
        </w:rPr>
        <w:t xml:space="preserve">3 </w:t>
      </w:r>
      <w:r w:rsidR="000D1DCE" w:rsidRPr="001D52A0">
        <w:rPr>
          <w:rFonts w:asciiTheme="minorHAnsi" w:hAnsiTheme="minorHAnsi" w:cs="Arial"/>
          <w:sz w:val="22"/>
          <w:szCs w:val="22"/>
        </w:rPr>
        <w:t xml:space="preserve">million, </w:t>
      </w:r>
      <w:r w:rsidR="00F76350" w:rsidRPr="001D52A0">
        <w:rPr>
          <w:rFonts w:asciiTheme="minorHAnsi" w:hAnsiTheme="minorHAnsi" w:cs="Arial"/>
          <w:sz w:val="22"/>
          <w:szCs w:val="22"/>
        </w:rPr>
        <w:t>of which SERC rates make up £</w:t>
      </w:r>
      <w:r w:rsidR="00421FB1" w:rsidRPr="001D52A0">
        <w:rPr>
          <w:rFonts w:asciiTheme="minorHAnsi" w:hAnsiTheme="minorHAnsi" w:cs="Arial"/>
          <w:sz w:val="22"/>
          <w:szCs w:val="22"/>
        </w:rPr>
        <w:t xml:space="preserve">2.1 </w:t>
      </w:r>
      <w:r w:rsidR="00F76350" w:rsidRPr="001D52A0">
        <w:rPr>
          <w:rFonts w:asciiTheme="minorHAnsi" w:hAnsiTheme="minorHAnsi" w:cs="Arial"/>
          <w:sz w:val="22"/>
          <w:szCs w:val="22"/>
        </w:rPr>
        <w:t>million</w:t>
      </w:r>
      <w:r w:rsidR="00701130" w:rsidRPr="001D52A0">
        <w:rPr>
          <w:rFonts w:asciiTheme="minorHAnsi" w:hAnsiTheme="minorHAnsi" w:cs="Arial"/>
          <w:sz w:val="22"/>
          <w:szCs w:val="22"/>
        </w:rPr>
        <w:t xml:space="preserve"> and transfer stations £</w:t>
      </w:r>
      <w:r w:rsidR="00421FB1" w:rsidRPr="001D52A0">
        <w:rPr>
          <w:rFonts w:asciiTheme="minorHAnsi" w:hAnsiTheme="minorHAnsi" w:cs="Arial"/>
          <w:sz w:val="22"/>
          <w:szCs w:val="22"/>
        </w:rPr>
        <w:t>1</w:t>
      </w:r>
      <w:r w:rsidR="00701130" w:rsidRPr="001D52A0">
        <w:rPr>
          <w:rFonts w:asciiTheme="minorHAnsi" w:hAnsiTheme="minorHAnsi" w:cs="Arial"/>
          <w:sz w:val="22"/>
          <w:szCs w:val="22"/>
        </w:rPr>
        <w:t>.</w:t>
      </w:r>
      <w:r w:rsidR="00421FB1" w:rsidRPr="001D52A0">
        <w:rPr>
          <w:rFonts w:asciiTheme="minorHAnsi" w:hAnsiTheme="minorHAnsi" w:cs="Arial"/>
          <w:sz w:val="22"/>
          <w:szCs w:val="22"/>
        </w:rPr>
        <w:t>0</w:t>
      </w:r>
      <w:r w:rsidR="00701130" w:rsidRPr="001D52A0">
        <w:rPr>
          <w:rFonts w:asciiTheme="minorHAnsi" w:hAnsiTheme="minorHAnsi" w:cs="Arial"/>
          <w:sz w:val="22"/>
          <w:szCs w:val="22"/>
        </w:rPr>
        <w:t xml:space="preserve"> million</w:t>
      </w:r>
      <w:r w:rsidR="00F76350" w:rsidRPr="001D52A0">
        <w:rPr>
          <w:rFonts w:asciiTheme="minorHAnsi" w:hAnsiTheme="minorHAnsi" w:cs="Arial"/>
          <w:sz w:val="22"/>
          <w:szCs w:val="22"/>
        </w:rPr>
        <w:t>.</w:t>
      </w:r>
    </w:p>
    <w:p w14:paraId="387DCD6A" w14:textId="77777777" w:rsidR="00D179CE" w:rsidRPr="001D52A0" w:rsidRDefault="00D179CE" w:rsidP="00CB655A">
      <w:pPr>
        <w:numPr>
          <w:ilvl w:val="0"/>
          <w:numId w:val="33"/>
        </w:numPr>
        <w:autoSpaceDE w:val="0"/>
        <w:autoSpaceDN w:val="0"/>
        <w:adjustRightInd w:val="0"/>
        <w:spacing w:before="240" w:after="120"/>
        <w:jc w:val="both"/>
        <w:rPr>
          <w:rFonts w:asciiTheme="minorHAnsi" w:hAnsiTheme="minorHAnsi" w:cs="Arial"/>
          <w:b/>
          <w:sz w:val="22"/>
          <w:szCs w:val="22"/>
          <w:lang w:eastAsia="en-GB"/>
        </w:rPr>
      </w:pPr>
      <w:r w:rsidRPr="001D52A0">
        <w:rPr>
          <w:rFonts w:asciiTheme="minorHAnsi" w:hAnsiTheme="minorHAnsi" w:cs="Arial"/>
          <w:b/>
          <w:sz w:val="22"/>
          <w:szCs w:val="22"/>
          <w:lang w:eastAsia="en-GB"/>
        </w:rPr>
        <w:t>Employees</w:t>
      </w:r>
    </w:p>
    <w:p w14:paraId="4D3E3AF7" w14:textId="6C97DC15" w:rsidR="003D038C" w:rsidRPr="001D52A0" w:rsidRDefault="00D179CE" w:rsidP="003D038C">
      <w:pPr>
        <w:numPr>
          <w:ilvl w:val="1"/>
          <w:numId w:val="16"/>
        </w:numPr>
        <w:autoSpaceDE w:val="0"/>
        <w:autoSpaceDN w:val="0"/>
        <w:adjustRightInd w:val="0"/>
        <w:spacing w:before="240" w:after="120"/>
        <w:jc w:val="both"/>
        <w:rPr>
          <w:rFonts w:asciiTheme="minorHAnsi" w:hAnsiTheme="minorHAnsi" w:cs="Arial"/>
          <w:sz w:val="22"/>
          <w:szCs w:val="22"/>
          <w:lang w:eastAsia="en-GB"/>
        </w:rPr>
      </w:pPr>
      <w:r w:rsidRPr="001D52A0">
        <w:rPr>
          <w:rFonts w:asciiTheme="minorHAnsi" w:hAnsiTheme="minorHAnsi" w:cs="Arial"/>
          <w:sz w:val="22"/>
          <w:szCs w:val="22"/>
        </w:rPr>
        <w:t xml:space="preserve">The </w:t>
      </w:r>
      <w:r w:rsidR="00C42163" w:rsidRPr="001D52A0">
        <w:rPr>
          <w:rFonts w:asciiTheme="minorHAnsi" w:hAnsiTheme="minorHAnsi" w:cs="Arial"/>
          <w:sz w:val="22"/>
          <w:szCs w:val="22"/>
        </w:rPr>
        <w:t>2024/25</w:t>
      </w:r>
      <w:r w:rsidRPr="001D52A0">
        <w:rPr>
          <w:rFonts w:asciiTheme="minorHAnsi" w:hAnsiTheme="minorHAnsi" w:cs="Arial"/>
          <w:sz w:val="22"/>
          <w:szCs w:val="22"/>
        </w:rPr>
        <w:t xml:space="preserve"> </w:t>
      </w:r>
      <w:r w:rsidR="001F200A" w:rsidRPr="001D52A0">
        <w:rPr>
          <w:rFonts w:asciiTheme="minorHAnsi" w:hAnsiTheme="minorHAnsi" w:cs="Arial"/>
          <w:sz w:val="22"/>
          <w:szCs w:val="22"/>
        </w:rPr>
        <w:t xml:space="preserve">employee </w:t>
      </w:r>
      <w:r w:rsidRPr="001D52A0">
        <w:rPr>
          <w:rFonts w:asciiTheme="minorHAnsi" w:hAnsiTheme="minorHAnsi" w:cs="Arial"/>
          <w:sz w:val="22"/>
          <w:szCs w:val="22"/>
        </w:rPr>
        <w:t>budget</w:t>
      </w:r>
      <w:r w:rsidR="001F200A" w:rsidRPr="001D52A0">
        <w:rPr>
          <w:rFonts w:asciiTheme="minorHAnsi" w:hAnsiTheme="minorHAnsi" w:cs="Arial"/>
          <w:sz w:val="22"/>
          <w:szCs w:val="22"/>
        </w:rPr>
        <w:t>s</w:t>
      </w:r>
      <w:r w:rsidRPr="001D52A0">
        <w:rPr>
          <w:rFonts w:asciiTheme="minorHAnsi" w:hAnsiTheme="minorHAnsi" w:cs="Arial"/>
          <w:sz w:val="22"/>
          <w:szCs w:val="22"/>
        </w:rPr>
        <w:t xml:space="preserve"> of £</w:t>
      </w:r>
      <w:r w:rsidR="00C42163" w:rsidRPr="001D52A0">
        <w:rPr>
          <w:rFonts w:asciiTheme="minorHAnsi" w:hAnsiTheme="minorHAnsi" w:cs="Arial"/>
          <w:sz w:val="22"/>
          <w:szCs w:val="22"/>
        </w:rPr>
        <w:t>3.2</w:t>
      </w:r>
      <w:r w:rsidR="00350D37" w:rsidRPr="001D52A0">
        <w:rPr>
          <w:rFonts w:asciiTheme="minorHAnsi" w:hAnsiTheme="minorHAnsi" w:cs="Arial"/>
          <w:sz w:val="22"/>
          <w:szCs w:val="22"/>
        </w:rPr>
        <w:t xml:space="preserve"> </w:t>
      </w:r>
      <w:r w:rsidRPr="001D52A0">
        <w:rPr>
          <w:rFonts w:asciiTheme="minorHAnsi" w:hAnsiTheme="minorHAnsi" w:cs="Arial"/>
          <w:sz w:val="22"/>
          <w:szCs w:val="22"/>
        </w:rPr>
        <w:t>million is £</w:t>
      </w:r>
      <w:r w:rsidR="00B35ECA" w:rsidRPr="001D52A0">
        <w:rPr>
          <w:rFonts w:asciiTheme="minorHAnsi" w:hAnsiTheme="minorHAnsi" w:cs="Arial"/>
          <w:sz w:val="22"/>
          <w:szCs w:val="22"/>
        </w:rPr>
        <w:t>0.3</w:t>
      </w:r>
      <w:r w:rsidRPr="001D52A0">
        <w:rPr>
          <w:rFonts w:asciiTheme="minorHAnsi" w:hAnsiTheme="minorHAnsi" w:cs="Arial"/>
          <w:sz w:val="22"/>
          <w:szCs w:val="22"/>
        </w:rPr>
        <w:t xml:space="preserve"> million highe</w:t>
      </w:r>
      <w:r w:rsidR="00C42163" w:rsidRPr="001D52A0">
        <w:rPr>
          <w:rFonts w:asciiTheme="minorHAnsi" w:hAnsiTheme="minorHAnsi" w:cs="Arial"/>
          <w:sz w:val="22"/>
          <w:szCs w:val="22"/>
        </w:rPr>
        <w:t>r than the 2023</w:t>
      </w:r>
      <w:r w:rsidRPr="001D52A0">
        <w:rPr>
          <w:rFonts w:asciiTheme="minorHAnsi" w:hAnsiTheme="minorHAnsi" w:cs="Arial"/>
          <w:sz w:val="22"/>
          <w:szCs w:val="22"/>
        </w:rPr>
        <w:t>/</w:t>
      </w:r>
      <w:r w:rsidR="00B364A6" w:rsidRPr="001D52A0">
        <w:rPr>
          <w:rFonts w:asciiTheme="minorHAnsi" w:hAnsiTheme="minorHAnsi" w:cs="Arial"/>
          <w:sz w:val="22"/>
          <w:szCs w:val="22"/>
        </w:rPr>
        <w:t>2</w:t>
      </w:r>
      <w:r w:rsidR="00C42163" w:rsidRPr="001D52A0">
        <w:rPr>
          <w:rFonts w:asciiTheme="minorHAnsi" w:hAnsiTheme="minorHAnsi" w:cs="Arial"/>
          <w:sz w:val="22"/>
          <w:szCs w:val="22"/>
        </w:rPr>
        <w:t>4</w:t>
      </w:r>
      <w:r w:rsidRPr="001D52A0">
        <w:rPr>
          <w:rFonts w:asciiTheme="minorHAnsi" w:hAnsiTheme="minorHAnsi" w:cs="Arial"/>
          <w:sz w:val="22"/>
          <w:szCs w:val="22"/>
        </w:rPr>
        <w:t xml:space="preserve"> level. This </w:t>
      </w:r>
      <w:r w:rsidR="006D1349" w:rsidRPr="001D52A0">
        <w:rPr>
          <w:rFonts w:asciiTheme="minorHAnsi" w:hAnsiTheme="minorHAnsi" w:cs="Arial"/>
          <w:sz w:val="22"/>
          <w:szCs w:val="22"/>
        </w:rPr>
        <w:t xml:space="preserve">growth </w:t>
      </w:r>
      <w:r w:rsidR="00D75374" w:rsidRPr="001D52A0">
        <w:rPr>
          <w:rFonts w:asciiTheme="minorHAnsi" w:hAnsiTheme="minorHAnsi" w:cs="Arial"/>
          <w:sz w:val="22"/>
          <w:szCs w:val="22"/>
        </w:rPr>
        <w:t xml:space="preserve">relates </w:t>
      </w:r>
      <w:r w:rsidR="00350D37" w:rsidRPr="001D52A0">
        <w:rPr>
          <w:rFonts w:asciiTheme="minorHAnsi" w:hAnsiTheme="minorHAnsi" w:cs="Arial"/>
          <w:sz w:val="22"/>
          <w:szCs w:val="22"/>
        </w:rPr>
        <w:t xml:space="preserve">principally </w:t>
      </w:r>
      <w:r w:rsidR="00D75374" w:rsidRPr="001D52A0">
        <w:rPr>
          <w:rFonts w:asciiTheme="minorHAnsi" w:hAnsiTheme="minorHAnsi" w:cs="Arial"/>
          <w:sz w:val="22"/>
          <w:szCs w:val="22"/>
        </w:rPr>
        <w:t>to</w:t>
      </w:r>
      <w:r w:rsidR="00350D37" w:rsidRPr="001D52A0">
        <w:rPr>
          <w:rFonts w:asciiTheme="minorHAnsi" w:hAnsiTheme="minorHAnsi" w:cs="Arial"/>
          <w:sz w:val="22"/>
          <w:szCs w:val="22"/>
        </w:rPr>
        <w:t xml:space="preserve"> </w:t>
      </w:r>
      <w:r w:rsidR="00B364A6" w:rsidRPr="001D52A0">
        <w:rPr>
          <w:rFonts w:asciiTheme="minorHAnsi" w:hAnsiTheme="minorHAnsi" w:cs="Arial"/>
          <w:sz w:val="22"/>
          <w:szCs w:val="22"/>
        </w:rPr>
        <w:t xml:space="preserve">wage </w:t>
      </w:r>
      <w:r w:rsidR="006D1349" w:rsidRPr="001D52A0">
        <w:rPr>
          <w:rFonts w:asciiTheme="minorHAnsi" w:hAnsiTheme="minorHAnsi" w:cs="Arial"/>
          <w:sz w:val="22"/>
          <w:szCs w:val="22"/>
        </w:rPr>
        <w:t>inflation</w:t>
      </w:r>
      <w:r w:rsidR="003D038C" w:rsidRPr="001D52A0">
        <w:rPr>
          <w:rFonts w:asciiTheme="minorHAnsi" w:hAnsiTheme="minorHAnsi" w:cs="Arial"/>
          <w:sz w:val="22"/>
          <w:szCs w:val="22"/>
        </w:rPr>
        <w:t xml:space="preserve"> anticipated in 2023/24 at c. 4.5% and then a budgeted wage inflation in 2024/25 at </w:t>
      </w:r>
      <w:r w:rsidR="00C42163" w:rsidRPr="001D52A0">
        <w:rPr>
          <w:rFonts w:asciiTheme="minorHAnsi" w:hAnsiTheme="minorHAnsi" w:cs="Arial"/>
          <w:sz w:val="22"/>
          <w:szCs w:val="22"/>
        </w:rPr>
        <w:t>5</w:t>
      </w:r>
      <w:r w:rsidR="003D038C" w:rsidRPr="001D52A0">
        <w:rPr>
          <w:rFonts w:asciiTheme="minorHAnsi" w:hAnsiTheme="minorHAnsi" w:cs="Arial"/>
          <w:sz w:val="22"/>
          <w:szCs w:val="22"/>
        </w:rPr>
        <w:t xml:space="preserve">%.  </w:t>
      </w:r>
    </w:p>
    <w:p w14:paraId="6768FF4D" w14:textId="0D457D32" w:rsidR="003D038C" w:rsidRPr="001D52A0" w:rsidRDefault="003D038C" w:rsidP="003D038C">
      <w:pPr>
        <w:numPr>
          <w:ilvl w:val="1"/>
          <w:numId w:val="16"/>
        </w:numPr>
        <w:autoSpaceDE w:val="0"/>
        <w:autoSpaceDN w:val="0"/>
        <w:adjustRightInd w:val="0"/>
        <w:spacing w:before="240" w:after="120"/>
        <w:jc w:val="both"/>
        <w:rPr>
          <w:rFonts w:asciiTheme="minorHAnsi" w:hAnsiTheme="minorHAnsi" w:cs="Arial"/>
          <w:sz w:val="22"/>
          <w:szCs w:val="22"/>
          <w:lang w:eastAsia="en-GB"/>
        </w:rPr>
      </w:pPr>
      <w:r w:rsidRPr="001D52A0">
        <w:rPr>
          <w:rFonts w:asciiTheme="minorHAnsi" w:hAnsiTheme="minorHAnsi" w:cs="Arial"/>
          <w:sz w:val="22"/>
          <w:szCs w:val="22"/>
        </w:rPr>
        <w:t xml:space="preserve">Savings have been recognised within Corporate Services with the reduction of head count.  Within Programs, a role has been removed due to it being outsourced to provide a </w:t>
      </w:r>
      <w:r w:rsidR="00B35ECA" w:rsidRPr="001D52A0">
        <w:rPr>
          <w:rFonts w:asciiTheme="minorHAnsi" w:hAnsiTheme="minorHAnsi" w:cs="Arial"/>
          <w:sz w:val="22"/>
          <w:szCs w:val="22"/>
        </w:rPr>
        <w:t>better</w:t>
      </w:r>
      <w:r w:rsidRPr="001D52A0">
        <w:rPr>
          <w:rFonts w:asciiTheme="minorHAnsi" w:hAnsiTheme="minorHAnsi" w:cs="Arial"/>
          <w:sz w:val="22"/>
          <w:szCs w:val="22"/>
        </w:rPr>
        <w:t xml:space="preserve"> rounded service.</w:t>
      </w:r>
    </w:p>
    <w:p w14:paraId="42172A8D" w14:textId="536ACA74" w:rsidR="005C10D8" w:rsidRPr="001D52A0" w:rsidRDefault="00D70A81" w:rsidP="003D038C">
      <w:pPr>
        <w:numPr>
          <w:ilvl w:val="1"/>
          <w:numId w:val="16"/>
        </w:numPr>
        <w:autoSpaceDE w:val="0"/>
        <w:autoSpaceDN w:val="0"/>
        <w:adjustRightInd w:val="0"/>
        <w:spacing w:before="240" w:after="120"/>
        <w:jc w:val="both"/>
        <w:rPr>
          <w:rFonts w:asciiTheme="minorHAnsi" w:hAnsiTheme="minorHAnsi" w:cs="Arial"/>
          <w:sz w:val="22"/>
          <w:szCs w:val="22"/>
          <w:lang w:eastAsia="en-GB"/>
        </w:rPr>
      </w:pPr>
      <w:r w:rsidRPr="001D52A0">
        <w:rPr>
          <w:rFonts w:asciiTheme="minorHAnsi" w:hAnsiTheme="minorHAnsi" w:cs="Arial"/>
          <w:sz w:val="22"/>
          <w:szCs w:val="22"/>
        </w:rPr>
        <w:t>Th</w:t>
      </w:r>
      <w:r w:rsidR="00B364A6" w:rsidRPr="001D52A0">
        <w:rPr>
          <w:rFonts w:asciiTheme="minorHAnsi" w:hAnsiTheme="minorHAnsi" w:cs="Arial"/>
          <w:sz w:val="22"/>
          <w:szCs w:val="22"/>
        </w:rPr>
        <w:t xml:space="preserve">e </w:t>
      </w:r>
      <w:r w:rsidR="00252D6C" w:rsidRPr="001D52A0">
        <w:rPr>
          <w:rFonts w:asciiTheme="minorHAnsi" w:hAnsiTheme="minorHAnsi" w:cs="Arial"/>
          <w:sz w:val="22"/>
          <w:szCs w:val="22"/>
        </w:rPr>
        <w:t>2024/25</w:t>
      </w:r>
      <w:r w:rsidR="005244D2" w:rsidRPr="001D52A0">
        <w:rPr>
          <w:rFonts w:asciiTheme="minorHAnsi" w:hAnsiTheme="minorHAnsi" w:cs="Arial"/>
          <w:sz w:val="22"/>
          <w:szCs w:val="22"/>
        </w:rPr>
        <w:t xml:space="preserve"> </w:t>
      </w:r>
      <w:r w:rsidR="00B364A6" w:rsidRPr="001D52A0">
        <w:rPr>
          <w:rFonts w:asciiTheme="minorHAnsi" w:hAnsiTheme="minorHAnsi" w:cs="Arial"/>
          <w:sz w:val="22"/>
          <w:szCs w:val="22"/>
        </w:rPr>
        <w:t xml:space="preserve">establishment </w:t>
      </w:r>
      <w:r w:rsidR="00350D37" w:rsidRPr="001D52A0">
        <w:rPr>
          <w:rFonts w:asciiTheme="minorHAnsi" w:hAnsiTheme="minorHAnsi" w:cs="Arial"/>
          <w:sz w:val="22"/>
          <w:szCs w:val="22"/>
        </w:rPr>
        <w:t xml:space="preserve">of </w:t>
      </w:r>
      <w:r w:rsidR="00252D6C" w:rsidRPr="001D52A0">
        <w:rPr>
          <w:rFonts w:asciiTheme="minorHAnsi" w:hAnsiTheme="minorHAnsi" w:cs="Arial"/>
          <w:sz w:val="22"/>
          <w:szCs w:val="22"/>
        </w:rPr>
        <w:t>4</w:t>
      </w:r>
      <w:r w:rsidR="00B3446E" w:rsidRPr="001D52A0">
        <w:rPr>
          <w:rFonts w:asciiTheme="minorHAnsi" w:hAnsiTheme="minorHAnsi" w:cs="Arial"/>
          <w:sz w:val="22"/>
          <w:szCs w:val="22"/>
        </w:rPr>
        <w:t>2</w:t>
      </w:r>
      <w:r w:rsidR="00252D6C" w:rsidRPr="001D52A0">
        <w:rPr>
          <w:rFonts w:asciiTheme="minorHAnsi" w:hAnsiTheme="minorHAnsi" w:cs="Arial"/>
          <w:sz w:val="22"/>
          <w:szCs w:val="22"/>
        </w:rPr>
        <w:t>.2</w:t>
      </w:r>
      <w:r w:rsidR="00D179CE" w:rsidRPr="001D52A0">
        <w:rPr>
          <w:rFonts w:asciiTheme="minorHAnsi" w:hAnsiTheme="minorHAnsi" w:cs="Arial"/>
          <w:sz w:val="22"/>
          <w:szCs w:val="22"/>
        </w:rPr>
        <w:t xml:space="preserve"> full time equivalent (FTE) posts</w:t>
      </w:r>
      <w:r w:rsidR="005244D2" w:rsidRPr="001D52A0">
        <w:rPr>
          <w:rFonts w:asciiTheme="minorHAnsi" w:hAnsiTheme="minorHAnsi" w:cs="Arial"/>
          <w:sz w:val="22"/>
          <w:szCs w:val="22"/>
        </w:rPr>
        <w:t xml:space="preserve"> </w:t>
      </w:r>
      <w:r w:rsidR="00350D37" w:rsidRPr="001D52A0">
        <w:rPr>
          <w:rFonts w:asciiTheme="minorHAnsi" w:hAnsiTheme="minorHAnsi" w:cs="Arial"/>
          <w:sz w:val="22"/>
          <w:szCs w:val="22"/>
        </w:rPr>
        <w:t xml:space="preserve">is </w:t>
      </w:r>
      <w:r w:rsidR="00B3446E" w:rsidRPr="001D52A0">
        <w:rPr>
          <w:rFonts w:asciiTheme="minorHAnsi" w:hAnsiTheme="minorHAnsi" w:cs="Arial"/>
          <w:sz w:val="22"/>
          <w:szCs w:val="22"/>
        </w:rPr>
        <w:t>a decrease</w:t>
      </w:r>
      <w:r w:rsidR="001A11D4" w:rsidRPr="001D52A0">
        <w:rPr>
          <w:rFonts w:asciiTheme="minorHAnsi" w:hAnsiTheme="minorHAnsi" w:cs="Arial"/>
          <w:sz w:val="22"/>
          <w:szCs w:val="22"/>
        </w:rPr>
        <w:t xml:space="preserve"> </w:t>
      </w:r>
      <w:r w:rsidR="00350D37" w:rsidRPr="001D52A0">
        <w:rPr>
          <w:rFonts w:asciiTheme="minorHAnsi" w:hAnsiTheme="minorHAnsi" w:cs="Arial"/>
          <w:sz w:val="22"/>
          <w:szCs w:val="22"/>
        </w:rPr>
        <w:t xml:space="preserve">of </w:t>
      </w:r>
      <w:r w:rsidR="00252D6C" w:rsidRPr="001D52A0">
        <w:rPr>
          <w:rFonts w:asciiTheme="minorHAnsi" w:hAnsiTheme="minorHAnsi" w:cs="Arial"/>
          <w:sz w:val="22"/>
          <w:szCs w:val="22"/>
        </w:rPr>
        <w:t>0.5</w:t>
      </w:r>
      <w:r w:rsidR="00350D37" w:rsidRPr="001D52A0">
        <w:rPr>
          <w:rFonts w:asciiTheme="minorHAnsi" w:hAnsiTheme="minorHAnsi" w:cs="Arial"/>
          <w:sz w:val="22"/>
          <w:szCs w:val="22"/>
        </w:rPr>
        <w:t xml:space="preserve"> </w:t>
      </w:r>
      <w:r w:rsidR="00F8385F" w:rsidRPr="001D52A0">
        <w:rPr>
          <w:rFonts w:asciiTheme="minorHAnsi" w:hAnsiTheme="minorHAnsi" w:cs="Arial"/>
          <w:sz w:val="22"/>
          <w:szCs w:val="22"/>
        </w:rPr>
        <w:t>from the previous year</w:t>
      </w:r>
      <w:r w:rsidR="0037655E" w:rsidRPr="001D52A0">
        <w:rPr>
          <w:rFonts w:asciiTheme="minorHAnsi" w:hAnsiTheme="minorHAnsi" w:cs="Arial"/>
          <w:sz w:val="22"/>
          <w:szCs w:val="22"/>
        </w:rPr>
        <w:t xml:space="preserve">. </w:t>
      </w:r>
    </w:p>
    <w:p w14:paraId="0DC84D8D" w14:textId="5FD17494" w:rsidR="00F8385F" w:rsidRPr="001D52A0" w:rsidRDefault="00F8385F" w:rsidP="003D038C">
      <w:pPr>
        <w:numPr>
          <w:ilvl w:val="1"/>
          <w:numId w:val="16"/>
        </w:numPr>
        <w:autoSpaceDE w:val="0"/>
        <w:autoSpaceDN w:val="0"/>
        <w:adjustRightInd w:val="0"/>
        <w:spacing w:before="240" w:after="120"/>
        <w:jc w:val="both"/>
        <w:rPr>
          <w:rFonts w:asciiTheme="minorHAnsi" w:hAnsiTheme="minorHAnsi" w:cs="Arial"/>
          <w:sz w:val="22"/>
          <w:szCs w:val="22"/>
          <w:lang w:eastAsia="en-GB"/>
        </w:rPr>
      </w:pPr>
      <w:r w:rsidRPr="001D52A0">
        <w:rPr>
          <w:rFonts w:asciiTheme="minorHAnsi" w:hAnsiTheme="minorHAnsi" w:cs="Arial"/>
          <w:sz w:val="22"/>
          <w:szCs w:val="22"/>
          <w:lang w:eastAsia="en-GB"/>
        </w:rPr>
        <w:t xml:space="preserve">Putting this into context the Authority employed </w:t>
      </w:r>
      <w:r w:rsidR="004A7EBF" w:rsidRPr="001D52A0">
        <w:rPr>
          <w:rFonts w:asciiTheme="minorHAnsi" w:hAnsiTheme="minorHAnsi" w:cs="Arial"/>
          <w:sz w:val="22"/>
          <w:szCs w:val="22"/>
          <w:lang w:eastAsia="en-GB"/>
        </w:rPr>
        <w:t>32</w:t>
      </w:r>
      <w:r w:rsidRPr="001D52A0">
        <w:rPr>
          <w:rFonts w:asciiTheme="minorHAnsi" w:hAnsiTheme="minorHAnsi" w:cs="Arial"/>
          <w:sz w:val="22"/>
          <w:szCs w:val="22"/>
          <w:lang w:eastAsia="en-GB"/>
        </w:rPr>
        <w:t xml:space="preserve"> FTE in 2014/15 and over </w:t>
      </w:r>
      <w:r w:rsidR="004A131B" w:rsidRPr="001D52A0">
        <w:rPr>
          <w:rFonts w:asciiTheme="minorHAnsi" w:hAnsiTheme="minorHAnsi" w:cs="Arial"/>
          <w:sz w:val="22"/>
          <w:szCs w:val="22"/>
          <w:lang w:eastAsia="en-GB"/>
        </w:rPr>
        <w:t xml:space="preserve">many years </w:t>
      </w:r>
      <w:r w:rsidRPr="001D52A0">
        <w:rPr>
          <w:rFonts w:asciiTheme="minorHAnsi" w:hAnsiTheme="minorHAnsi" w:cs="Arial"/>
          <w:sz w:val="22"/>
          <w:szCs w:val="22"/>
          <w:lang w:eastAsia="en-GB"/>
        </w:rPr>
        <w:t xml:space="preserve">FTE numbers have </w:t>
      </w:r>
      <w:r w:rsidR="004A7EBF" w:rsidRPr="001D52A0">
        <w:rPr>
          <w:rFonts w:asciiTheme="minorHAnsi" w:hAnsiTheme="minorHAnsi" w:cs="Arial"/>
          <w:sz w:val="22"/>
          <w:szCs w:val="22"/>
          <w:lang w:eastAsia="en-GB"/>
        </w:rPr>
        <w:t>gradually increased to close to 40.</w:t>
      </w:r>
      <w:r w:rsidRPr="001D52A0">
        <w:rPr>
          <w:rFonts w:asciiTheme="minorHAnsi" w:hAnsiTheme="minorHAnsi" w:cs="Arial"/>
          <w:sz w:val="22"/>
          <w:szCs w:val="22"/>
          <w:lang w:eastAsia="en-GB"/>
        </w:rPr>
        <w:t xml:space="preserve"> The size of the staffing establishment numbers remains small and stable whilst providing</w:t>
      </w:r>
      <w:r w:rsidR="004A7EBF" w:rsidRPr="001D52A0">
        <w:rPr>
          <w:rFonts w:asciiTheme="minorHAnsi" w:hAnsiTheme="minorHAnsi" w:cs="Arial"/>
          <w:sz w:val="22"/>
          <w:szCs w:val="22"/>
          <w:lang w:eastAsia="en-GB"/>
        </w:rPr>
        <w:t xml:space="preserve"> the resource to drive forward </w:t>
      </w:r>
      <w:r w:rsidRPr="001D52A0">
        <w:rPr>
          <w:rFonts w:asciiTheme="minorHAnsi" w:hAnsiTheme="minorHAnsi" w:cs="Arial"/>
          <w:sz w:val="22"/>
          <w:szCs w:val="22"/>
          <w:lang w:eastAsia="en-GB"/>
        </w:rPr>
        <w:t>business plan objectives and undertake the increasing volume, variety and complexity of work.</w:t>
      </w:r>
      <w:r w:rsidR="004A7EBF" w:rsidRPr="001D52A0">
        <w:rPr>
          <w:rFonts w:asciiTheme="minorHAnsi" w:hAnsiTheme="minorHAnsi" w:cs="Arial"/>
          <w:sz w:val="22"/>
          <w:szCs w:val="22"/>
          <w:lang w:eastAsia="en-GB"/>
        </w:rPr>
        <w:t xml:space="preserve">  The staffing establishment has increased over time to support waste minimisation and working towards a circular economy.</w:t>
      </w:r>
    </w:p>
    <w:p w14:paraId="23FABAAE" w14:textId="45A3A4E9" w:rsidR="003F4EA7" w:rsidRPr="001D52A0" w:rsidRDefault="00E91D75" w:rsidP="003F4EA7">
      <w:pPr>
        <w:numPr>
          <w:ilvl w:val="1"/>
          <w:numId w:val="16"/>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 xml:space="preserve">Boroughs are increasing recycling through improved segregation of materials at the kerbside and at HRRCs/transfer stations, resulting in more </w:t>
      </w:r>
      <w:r w:rsidR="00EF602C" w:rsidRPr="001D52A0">
        <w:rPr>
          <w:rFonts w:asciiTheme="minorHAnsi" w:hAnsiTheme="minorHAnsi" w:cs="Arial"/>
          <w:sz w:val="22"/>
          <w:szCs w:val="22"/>
        </w:rPr>
        <w:t>material being</w:t>
      </w:r>
      <w:r w:rsidRPr="001D52A0">
        <w:rPr>
          <w:rFonts w:asciiTheme="minorHAnsi" w:hAnsiTheme="minorHAnsi" w:cs="Arial"/>
          <w:sz w:val="22"/>
          <w:szCs w:val="22"/>
        </w:rPr>
        <w:t xml:space="preserve"> managed by WLWA. Along with Brent joining Ealing in the dry mixed recycling contract, the volume of material to </w:t>
      </w:r>
      <w:r w:rsidR="0044641B" w:rsidRPr="001D52A0">
        <w:rPr>
          <w:rFonts w:asciiTheme="minorHAnsi" w:hAnsiTheme="minorHAnsi" w:cs="Arial"/>
          <w:sz w:val="22"/>
          <w:szCs w:val="22"/>
        </w:rPr>
        <w:t>be managed by WLWA has increased.  However, the overall establishment has stayed flat.</w:t>
      </w:r>
    </w:p>
    <w:p w14:paraId="5638C450" w14:textId="5D821AC8" w:rsidR="003F4EA7" w:rsidRPr="001D52A0" w:rsidRDefault="003F4EA7" w:rsidP="003F4EA7">
      <w:pPr>
        <w:pStyle w:val="ListParagraph"/>
        <w:numPr>
          <w:ilvl w:val="1"/>
          <w:numId w:val="16"/>
        </w:numPr>
        <w:rPr>
          <w:rFonts w:asciiTheme="minorHAnsi" w:eastAsia="Times New Roman" w:hAnsiTheme="minorHAnsi"/>
        </w:rPr>
      </w:pPr>
      <w:r w:rsidRPr="001D52A0">
        <w:rPr>
          <w:rFonts w:asciiTheme="minorHAnsi" w:eastAsia="Times New Roman" w:hAnsiTheme="minorHAnsi"/>
        </w:rPr>
        <w:t xml:space="preserve">The staffing increase in Contracts/Operations team is directly linked to delivering more work on the Boroughs behalf. The Operational establishment will be sufficiently resourced to manage the additional materials from Brent Council at Abbey Road, and also provide ongoing operational support to Richmond Council for managing its two waste sites. The contract management and procurement function is also increasing slightly </w:t>
      </w:r>
      <w:r w:rsidRPr="001D52A0">
        <w:rPr>
          <w:rFonts w:asciiTheme="minorHAnsi" w:eastAsia="Times New Roman" w:hAnsiTheme="minorHAnsi"/>
        </w:rPr>
        <w:lastRenderedPageBreak/>
        <w:t xml:space="preserve">to continue to procure and manage more services on behalf of the Boroughs, including establishing service level agreements between the partner authorities. The budgeted establishment will ensure that the team is resourced to procure in a smart and agile </w:t>
      </w:r>
      <w:r w:rsidR="0046595F" w:rsidRPr="001D52A0">
        <w:rPr>
          <w:rFonts w:asciiTheme="minorHAnsi" w:eastAsia="Times New Roman" w:hAnsiTheme="minorHAnsi"/>
        </w:rPr>
        <w:t>way that</w:t>
      </w:r>
      <w:r w:rsidRPr="001D52A0">
        <w:rPr>
          <w:rFonts w:asciiTheme="minorHAnsi" w:eastAsia="Times New Roman" w:hAnsiTheme="minorHAnsi"/>
        </w:rPr>
        <w:t xml:space="preserve"> returns best value from the market, whilst delivering robust management of these multiple contracts and their interfaces. This delivers significant savings over delivering services through an integrated contract. </w:t>
      </w:r>
    </w:p>
    <w:p w14:paraId="5853C408" w14:textId="1C98602D" w:rsidR="00B364A6" w:rsidRPr="001D52A0" w:rsidRDefault="00B364A6" w:rsidP="004E4209">
      <w:pPr>
        <w:numPr>
          <w:ilvl w:val="1"/>
          <w:numId w:val="16"/>
        </w:numPr>
        <w:autoSpaceDE w:val="0"/>
        <w:autoSpaceDN w:val="0"/>
        <w:adjustRightInd w:val="0"/>
        <w:spacing w:before="240" w:after="120"/>
        <w:jc w:val="both"/>
        <w:rPr>
          <w:rFonts w:asciiTheme="minorHAnsi" w:hAnsiTheme="minorHAnsi" w:cs="Arial"/>
          <w:sz w:val="22"/>
          <w:szCs w:val="22"/>
          <w:lang w:eastAsia="en-GB"/>
        </w:rPr>
      </w:pPr>
      <w:r w:rsidRPr="001D52A0">
        <w:rPr>
          <w:rFonts w:asciiTheme="minorHAnsi" w:hAnsiTheme="minorHAnsi" w:cs="Arial"/>
          <w:sz w:val="22"/>
          <w:szCs w:val="22"/>
          <w:lang w:eastAsia="en-GB"/>
        </w:rPr>
        <w:t xml:space="preserve">A </w:t>
      </w:r>
      <w:r w:rsidR="00385ED0" w:rsidRPr="001D52A0">
        <w:rPr>
          <w:rFonts w:asciiTheme="minorHAnsi" w:hAnsiTheme="minorHAnsi" w:cs="Arial"/>
          <w:sz w:val="22"/>
          <w:szCs w:val="22"/>
          <w:lang w:eastAsia="en-GB"/>
        </w:rPr>
        <w:t xml:space="preserve">notional </w:t>
      </w:r>
      <w:r w:rsidRPr="001D52A0">
        <w:rPr>
          <w:rFonts w:asciiTheme="minorHAnsi" w:hAnsiTheme="minorHAnsi" w:cs="Arial"/>
          <w:sz w:val="22"/>
          <w:szCs w:val="22"/>
          <w:lang w:eastAsia="en-GB"/>
        </w:rPr>
        <w:t xml:space="preserve">breakdown of the establishment by area of activity </w:t>
      </w:r>
      <w:r w:rsidR="00390A74" w:rsidRPr="001D52A0">
        <w:rPr>
          <w:rFonts w:asciiTheme="minorHAnsi" w:hAnsiTheme="minorHAnsi" w:cs="Arial"/>
          <w:sz w:val="22"/>
          <w:szCs w:val="22"/>
          <w:lang w:eastAsia="en-GB"/>
        </w:rPr>
        <w:t xml:space="preserve">and whether </w:t>
      </w:r>
      <w:r w:rsidR="00CB1401" w:rsidRPr="001D52A0">
        <w:rPr>
          <w:rFonts w:asciiTheme="minorHAnsi" w:hAnsiTheme="minorHAnsi" w:cs="Arial"/>
          <w:sz w:val="22"/>
          <w:szCs w:val="22"/>
          <w:lang w:eastAsia="en-GB"/>
        </w:rPr>
        <w:t>business as usual (</w:t>
      </w:r>
      <w:r w:rsidR="00390A74" w:rsidRPr="001D52A0">
        <w:rPr>
          <w:rFonts w:asciiTheme="minorHAnsi" w:hAnsiTheme="minorHAnsi" w:cs="Arial"/>
          <w:sz w:val="22"/>
          <w:szCs w:val="22"/>
          <w:lang w:eastAsia="en-GB"/>
        </w:rPr>
        <w:t>BAU</w:t>
      </w:r>
      <w:r w:rsidR="00CB1401" w:rsidRPr="001D52A0">
        <w:rPr>
          <w:rFonts w:asciiTheme="minorHAnsi" w:hAnsiTheme="minorHAnsi" w:cs="Arial"/>
          <w:sz w:val="22"/>
          <w:szCs w:val="22"/>
          <w:lang w:eastAsia="en-GB"/>
        </w:rPr>
        <w:t>)</w:t>
      </w:r>
      <w:r w:rsidR="00390A74" w:rsidRPr="001D52A0">
        <w:rPr>
          <w:rFonts w:asciiTheme="minorHAnsi" w:hAnsiTheme="minorHAnsi" w:cs="Arial"/>
          <w:sz w:val="22"/>
          <w:szCs w:val="22"/>
          <w:lang w:eastAsia="en-GB"/>
        </w:rPr>
        <w:t xml:space="preserve"> or </w:t>
      </w:r>
      <w:r w:rsidR="00E70988" w:rsidRPr="001D52A0">
        <w:rPr>
          <w:rFonts w:asciiTheme="minorHAnsi" w:hAnsiTheme="minorHAnsi" w:cs="Arial"/>
          <w:sz w:val="22"/>
          <w:szCs w:val="22"/>
          <w:lang w:eastAsia="en-GB"/>
        </w:rPr>
        <w:t>programme work</w:t>
      </w:r>
      <w:r w:rsidR="00390A74" w:rsidRPr="001D52A0">
        <w:rPr>
          <w:rFonts w:asciiTheme="minorHAnsi" w:hAnsiTheme="minorHAnsi" w:cs="Arial"/>
          <w:sz w:val="22"/>
          <w:szCs w:val="22"/>
          <w:lang w:eastAsia="en-GB"/>
        </w:rPr>
        <w:t xml:space="preserve"> </w:t>
      </w:r>
      <w:r w:rsidRPr="001D52A0">
        <w:rPr>
          <w:rFonts w:asciiTheme="minorHAnsi" w:hAnsiTheme="minorHAnsi" w:cs="Arial"/>
          <w:sz w:val="22"/>
          <w:szCs w:val="22"/>
          <w:lang w:eastAsia="en-GB"/>
        </w:rPr>
        <w:t>is provided below:</w:t>
      </w:r>
    </w:p>
    <w:p w14:paraId="73AB042A" w14:textId="02CBB5B9" w:rsidR="007918EC" w:rsidRPr="001D52A0" w:rsidRDefault="007918EC" w:rsidP="007918EC">
      <w:pPr>
        <w:autoSpaceDE w:val="0"/>
        <w:autoSpaceDN w:val="0"/>
        <w:adjustRightInd w:val="0"/>
        <w:spacing w:before="240" w:after="120"/>
        <w:jc w:val="both"/>
        <w:rPr>
          <w:rFonts w:asciiTheme="minorHAnsi" w:hAnsiTheme="minorHAnsi" w:cs="Arial"/>
          <w:sz w:val="22"/>
          <w:szCs w:val="22"/>
          <w:lang w:eastAsia="en-GB"/>
        </w:rPr>
      </w:pPr>
    </w:p>
    <w:tbl>
      <w:tblPr>
        <w:tblW w:w="7182"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1554"/>
        <w:gridCol w:w="1555"/>
        <w:gridCol w:w="1559"/>
      </w:tblGrid>
      <w:tr w:rsidR="00252D6C" w:rsidRPr="001D52A0" w14:paraId="752600A8" w14:textId="77777777" w:rsidTr="003B7E85">
        <w:tc>
          <w:tcPr>
            <w:tcW w:w="2514" w:type="dxa"/>
            <w:shd w:val="clear" w:color="auto" w:fill="auto"/>
          </w:tcPr>
          <w:p w14:paraId="20944E62" w14:textId="77777777" w:rsidR="00252D6C" w:rsidRPr="001D52A0" w:rsidRDefault="00252D6C" w:rsidP="00252D6C">
            <w:pPr>
              <w:autoSpaceDE w:val="0"/>
              <w:autoSpaceDN w:val="0"/>
              <w:adjustRightInd w:val="0"/>
              <w:jc w:val="both"/>
              <w:rPr>
                <w:rFonts w:asciiTheme="minorHAnsi" w:hAnsiTheme="minorHAnsi" w:cs="Arial"/>
                <w:b/>
                <w:sz w:val="22"/>
                <w:szCs w:val="22"/>
                <w:lang w:eastAsia="en-GB"/>
              </w:rPr>
            </w:pPr>
            <w:r w:rsidRPr="001D52A0">
              <w:rPr>
                <w:rFonts w:asciiTheme="minorHAnsi" w:hAnsiTheme="minorHAnsi" w:cs="Arial"/>
                <w:b/>
                <w:sz w:val="22"/>
                <w:szCs w:val="22"/>
                <w:lang w:eastAsia="en-GB"/>
              </w:rPr>
              <w:t>BAU Activity</w:t>
            </w:r>
          </w:p>
        </w:tc>
        <w:tc>
          <w:tcPr>
            <w:tcW w:w="1554" w:type="dxa"/>
          </w:tcPr>
          <w:p w14:paraId="748FD985" w14:textId="77777777" w:rsidR="00252D6C" w:rsidRPr="001D52A0" w:rsidRDefault="00252D6C" w:rsidP="00252D6C">
            <w:pPr>
              <w:autoSpaceDE w:val="0"/>
              <w:autoSpaceDN w:val="0"/>
              <w:adjustRightInd w:val="0"/>
              <w:jc w:val="center"/>
              <w:rPr>
                <w:rFonts w:asciiTheme="minorHAnsi" w:hAnsiTheme="minorHAnsi" w:cs="Arial"/>
                <w:b/>
                <w:sz w:val="22"/>
                <w:szCs w:val="22"/>
                <w:lang w:eastAsia="en-GB"/>
              </w:rPr>
            </w:pPr>
            <w:r w:rsidRPr="001D52A0">
              <w:rPr>
                <w:rFonts w:asciiTheme="minorHAnsi" w:hAnsiTheme="minorHAnsi" w:cs="Arial"/>
                <w:b/>
                <w:sz w:val="22"/>
                <w:szCs w:val="22"/>
                <w:lang w:eastAsia="en-GB"/>
              </w:rPr>
              <w:t>2023/24</w:t>
            </w:r>
          </w:p>
        </w:tc>
        <w:tc>
          <w:tcPr>
            <w:tcW w:w="1555" w:type="dxa"/>
            <w:shd w:val="clear" w:color="auto" w:fill="auto"/>
          </w:tcPr>
          <w:p w14:paraId="4D98ADF0" w14:textId="77777777" w:rsidR="00252D6C" w:rsidRPr="001D52A0" w:rsidRDefault="00252D6C" w:rsidP="00252D6C">
            <w:pPr>
              <w:autoSpaceDE w:val="0"/>
              <w:autoSpaceDN w:val="0"/>
              <w:adjustRightInd w:val="0"/>
              <w:jc w:val="center"/>
              <w:rPr>
                <w:rFonts w:asciiTheme="minorHAnsi" w:hAnsiTheme="minorHAnsi" w:cs="Arial"/>
                <w:b/>
                <w:sz w:val="22"/>
                <w:szCs w:val="22"/>
                <w:lang w:eastAsia="en-GB"/>
              </w:rPr>
            </w:pPr>
            <w:r w:rsidRPr="001D52A0">
              <w:rPr>
                <w:rFonts w:asciiTheme="minorHAnsi" w:hAnsiTheme="minorHAnsi" w:cs="Arial"/>
                <w:b/>
                <w:sz w:val="22"/>
                <w:szCs w:val="22"/>
                <w:lang w:eastAsia="en-GB"/>
              </w:rPr>
              <w:t>2024/25</w:t>
            </w:r>
          </w:p>
        </w:tc>
        <w:tc>
          <w:tcPr>
            <w:tcW w:w="1559" w:type="dxa"/>
            <w:shd w:val="clear" w:color="auto" w:fill="auto"/>
          </w:tcPr>
          <w:p w14:paraId="7555BC4E" w14:textId="77777777" w:rsidR="00252D6C" w:rsidRPr="001D52A0" w:rsidRDefault="00252D6C" w:rsidP="00252D6C">
            <w:pPr>
              <w:autoSpaceDE w:val="0"/>
              <w:autoSpaceDN w:val="0"/>
              <w:adjustRightInd w:val="0"/>
              <w:jc w:val="center"/>
              <w:rPr>
                <w:rFonts w:asciiTheme="minorHAnsi" w:hAnsiTheme="minorHAnsi" w:cs="Arial"/>
                <w:b/>
                <w:sz w:val="22"/>
                <w:szCs w:val="22"/>
                <w:lang w:eastAsia="en-GB"/>
              </w:rPr>
            </w:pPr>
            <w:r w:rsidRPr="001D52A0">
              <w:rPr>
                <w:rFonts w:asciiTheme="minorHAnsi" w:hAnsiTheme="minorHAnsi" w:cs="Arial"/>
                <w:b/>
                <w:sz w:val="22"/>
                <w:szCs w:val="22"/>
                <w:lang w:eastAsia="en-GB"/>
              </w:rPr>
              <w:t xml:space="preserve">Change </w:t>
            </w:r>
          </w:p>
        </w:tc>
      </w:tr>
      <w:tr w:rsidR="00252D6C" w:rsidRPr="001D52A0" w14:paraId="054E77A3" w14:textId="77777777" w:rsidTr="003B7E85">
        <w:tc>
          <w:tcPr>
            <w:tcW w:w="2514" w:type="dxa"/>
            <w:shd w:val="clear" w:color="auto" w:fill="auto"/>
          </w:tcPr>
          <w:p w14:paraId="4DF424D7" w14:textId="77777777" w:rsidR="00252D6C" w:rsidRPr="001D52A0" w:rsidRDefault="00252D6C" w:rsidP="00252D6C">
            <w:pPr>
              <w:autoSpaceDE w:val="0"/>
              <w:autoSpaceDN w:val="0"/>
              <w:adjustRightInd w:val="0"/>
              <w:rPr>
                <w:rFonts w:asciiTheme="minorHAnsi" w:hAnsiTheme="minorHAnsi" w:cs="Arial"/>
                <w:sz w:val="22"/>
                <w:szCs w:val="22"/>
                <w:lang w:eastAsia="en-GB"/>
              </w:rPr>
            </w:pPr>
            <w:r w:rsidRPr="001D52A0">
              <w:rPr>
                <w:rFonts w:asciiTheme="minorHAnsi" w:hAnsiTheme="minorHAnsi" w:cs="Arial"/>
                <w:sz w:val="22"/>
                <w:szCs w:val="22"/>
                <w:lang w:eastAsia="en-GB"/>
              </w:rPr>
              <w:t>Contracts/Operations</w:t>
            </w:r>
          </w:p>
        </w:tc>
        <w:tc>
          <w:tcPr>
            <w:tcW w:w="1554" w:type="dxa"/>
          </w:tcPr>
          <w:p w14:paraId="2A363708" w14:textId="77777777" w:rsidR="00252D6C" w:rsidRPr="001D52A0" w:rsidRDefault="00252D6C" w:rsidP="00252D6C">
            <w:pPr>
              <w:autoSpaceDE w:val="0"/>
              <w:autoSpaceDN w:val="0"/>
              <w:adjustRightInd w:val="0"/>
              <w:jc w:val="center"/>
              <w:rPr>
                <w:rFonts w:asciiTheme="minorHAnsi" w:hAnsiTheme="minorHAnsi" w:cs="Arial"/>
                <w:sz w:val="22"/>
                <w:szCs w:val="22"/>
                <w:lang w:eastAsia="en-GB"/>
              </w:rPr>
            </w:pPr>
            <w:r w:rsidRPr="001D52A0">
              <w:rPr>
                <w:rFonts w:asciiTheme="minorHAnsi" w:hAnsiTheme="minorHAnsi" w:cs="Arial"/>
                <w:sz w:val="22"/>
                <w:szCs w:val="22"/>
                <w:lang w:eastAsia="en-GB"/>
              </w:rPr>
              <w:t>19.0</w:t>
            </w:r>
          </w:p>
        </w:tc>
        <w:tc>
          <w:tcPr>
            <w:tcW w:w="1555" w:type="dxa"/>
            <w:shd w:val="clear" w:color="auto" w:fill="auto"/>
          </w:tcPr>
          <w:p w14:paraId="7CE9E919" w14:textId="0AAF11F9" w:rsidR="00252D6C" w:rsidRPr="001D52A0" w:rsidRDefault="00786F74" w:rsidP="00252D6C">
            <w:pPr>
              <w:autoSpaceDE w:val="0"/>
              <w:autoSpaceDN w:val="0"/>
              <w:adjustRightInd w:val="0"/>
              <w:jc w:val="center"/>
              <w:rPr>
                <w:rFonts w:asciiTheme="minorHAnsi" w:hAnsiTheme="minorHAnsi" w:cs="Arial"/>
                <w:sz w:val="22"/>
                <w:szCs w:val="22"/>
                <w:lang w:eastAsia="en-GB"/>
              </w:rPr>
            </w:pPr>
            <w:r w:rsidRPr="001D52A0">
              <w:rPr>
                <w:rFonts w:asciiTheme="minorHAnsi" w:hAnsiTheme="minorHAnsi" w:cs="Arial"/>
                <w:sz w:val="22"/>
                <w:szCs w:val="22"/>
                <w:lang w:eastAsia="en-GB"/>
              </w:rPr>
              <w:t>21</w:t>
            </w:r>
            <w:r w:rsidR="00815B4E" w:rsidRPr="001D52A0">
              <w:rPr>
                <w:rFonts w:asciiTheme="minorHAnsi" w:hAnsiTheme="minorHAnsi" w:cs="Arial"/>
                <w:sz w:val="22"/>
                <w:szCs w:val="22"/>
                <w:lang w:eastAsia="en-GB"/>
              </w:rPr>
              <w:t>.0</w:t>
            </w:r>
          </w:p>
        </w:tc>
        <w:tc>
          <w:tcPr>
            <w:tcW w:w="1559" w:type="dxa"/>
            <w:shd w:val="clear" w:color="auto" w:fill="auto"/>
          </w:tcPr>
          <w:p w14:paraId="34A050F4" w14:textId="58D5EF24" w:rsidR="00252D6C" w:rsidRPr="001D52A0" w:rsidRDefault="00786F74" w:rsidP="00252D6C">
            <w:pPr>
              <w:autoSpaceDE w:val="0"/>
              <w:autoSpaceDN w:val="0"/>
              <w:adjustRightInd w:val="0"/>
              <w:jc w:val="center"/>
              <w:rPr>
                <w:rFonts w:asciiTheme="minorHAnsi" w:hAnsiTheme="minorHAnsi" w:cs="Arial"/>
                <w:sz w:val="22"/>
                <w:szCs w:val="22"/>
                <w:lang w:eastAsia="en-GB"/>
              </w:rPr>
            </w:pPr>
            <w:r w:rsidRPr="001D52A0">
              <w:rPr>
                <w:rFonts w:asciiTheme="minorHAnsi" w:hAnsiTheme="minorHAnsi" w:cs="Arial"/>
                <w:sz w:val="22"/>
                <w:szCs w:val="22"/>
                <w:lang w:eastAsia="en-GB"/>
              </w:rPr>
              <w:t>2</w:t>
            </w:r>
          </w:p>
        </w:tc>
      </w:tr>
      <w:tr w:rsidR="00252D6C" w:rsidRPr="001D52A0" w14:paraId="2461BE82" w14:textId="77777777" w:rsidTr="003B7E85">
        <w:tc>
          <w:tcPr>
            <w:tcW w:w="2514" w:type="dxa"/>
            <w:shd w:val="clear" w:color="auto" w:fill="auto"/>
          </w:tcPr>
          <w:p w14:paraId="2E505745" w14:textId="77777777" w:rsidR="00252D6C" w:rsidRPr="001D52A0" w:rsidRDefault="00252D6C" w:rsidP="00252D6C">
            <w:pPr>
              <w:autoSpaceDE w:val="0"/>
              <w:autoSpaceDN w:val="0"/>
              <w:adjustRightInd w:val="0"/>
              <w:jc w:val="both"/>
              <w:rPr>
                <w:rFonts w:asciiTheme="minorHAnsi" w:hAnsiTheme="minorHAnsi" w:cs="Arial"/>
                <w:sz w:val="22"/>
                <w:szCs w:val="22"/>
                <w:lang w:eastAsia="en-GB"/>
              </w:rPr>
            </w:pPr>
            <w:r w:rsidRPr="001D52A0">
              <w:rPr>
                <w:rFonts w:asciiTheme="minorHAnsi" w:hAnsiTheme="minorHAnsi" w:cs="Arial"/>
                <w:sz w:val="22"/>
                <w:szCs w:val="22"/>
                <w:lang w:eastAsia="en-GB"/>
              </w:rPr>
              <w:t>Corporate Services</w:t>
            </w:r>
          </w:p>
        </w:tc>
        <w:tc>
          <w:tcPr>
            <w:tcW w:w="1554" w:type="dxa"/>
          </w:tcPr>
          <w:p w14:paraId="5B30CE9A" w14:textId="77777777" w:rsidR="00252D6C" w:rsidRPr="001D52A0" w:rsidRDefault="00252D6C" w:rsidP="00252D6C">
            <w:pPr>
              <w:autoSpaceDE w:val="0"/>
              <w:autoSpaceDN w:val="0"/>
              <w:adjustRightInd w:val="0"/>
              <w:jc w:val="center"/>
              <w:rPr>
                <w:rFonts w:asciiTheme="minorHAnsi" w:hAnsiTheme="minorHAnsi" w:cs="Arial"/>
                <w:sz w:val="22"/>
                <w:szCs w:val="22"/>
                <w:lang w:eastAsia="en-GB"/>
              </w:rPr>
            </w:pPr>
            <w:r w:rsidRPr="001D52A0">
              <w:rPr>
                <w:rFonts w:asciiTheme="minorHAnsi" w:hAnsiTheme="minorHAnsi" w:cs="Arial"/>
                <w:sz w:val="22"/>
                <w:szCs w:val="22"/>
                <w:lang w:eastAsia="en-GB"/>
              </w:rPr>
              <w:t>9.7</w:t>
            </w:r>
          </w:p>
        </w:tc>
        <w:tc>
          <w:tcPr>
            <w:tcW w:w="1555" w:type="dxa"/>
            <w:shd w:val="clear" w:color="auto" w:fill="auto"/>
          </w:tcPr>
          <w:p w14:paraId="7A72D04B" w14:textId="77777777" w:rsidR="00252D6C" w:rsidRPr="001D52A0" w:rsidRDefault="00252D6C" w:rsidP="00252D6C">
            <w:pPr>
              <w:autoSpaceDE w:val="0"/>
              <w:autoSpaceDN w:val="0"/>
              <w:adjustRightInd w:val="0"/>
              <w:jc w:val="center"/>
              <w:rPr>
                <w:rFonts w:asciiTheme="minorHAnsi" w:hAnsiTheme="minorHAnsi" w:cs="Arial"/>
                <w:sz w:val="22"/>
                <w:szCs w:val="22"/>
                <w:lang w:eastAsia="en-GB"/>
              </w:rPr>
            </w:pPr>
            <w:r w:rsidRPr="001D52A0">
              <w:rPr>
                <w:rFonts w:asciiTheme="minorHAnsi" w:hAnsiTheme="minorHAnsi" w:cs="Arial"/>
                <w:sz w:val="22"/>
                <w:szCs w:val="22"/>
                <w:lang w:eastAsia="en-GB"/>
              </w:rPr>
              <w:t>8.</w:t>
            </w:r>
            <w:r w:rsidR="005C10D8" w:rsidRPr="001D52A0">
              <w:rPr>
                <w:rFonts w:asciiTheme="minorHAnsi" w:hAnsiTheme="minorHAnsi" w:cs="Arial"/>
                <w:sz w:val="22"/>
                <w:szCs w:val="22"/>
                <w:lang w:eastAsia="en-GB"/>
              </w:rPr>
              <w:t>6</w:t>
            </w:r>
          </w:p>
        </w:tc>
        <w:tc>
          <w:tcPr>
            <w:tcW w:w="1559" w:type="dxa"/>
            <w:shd w:val="clear" w:color="auto" w:fill="auto"/>
          </w:tcPr>
          <w:p w14:paraId="21ADD219" w14:textId="77777777" w:rsidR="00252D6C" w:rsidRPr="001D52A0" w:rsidRDefault="005C10D8" w:rsidP="00252D6C">
            <w:pPr>
              <w:autoSpaceDE w:val="0"/>
              <w:autoSpaceDN w:val="0"/>
              <w:adjustRightInd w:val="0"/>
              <w:jc w:val="center"/>
              <w:rPr>
                <w:rFonts w:asciiTheme="minorHAnsi" w:hAnsiTheme="minorHAnsi" w:cs="Arial"/>
                <w:sz w:val="22"/>
                <w:szCs w:val="22"/>
                <w:lang w:eastAsia="en-GB"/>
              </w:rPr>
            </w:pPr>
            <w:r w:rsidRPr="001D52A0">
              <w:rPr>
                <w:rFonts w:asciiTheme="minorHAnsi" w:hAnsiTheme="minorHAnsi" w:cs="Arial"/>
                <w:sz w:val="22"/>
                <w:szCs w:val="22"/>
                <w:lang w:eastAsia="en-GB"/>
              </w:rPr>
              <w:t>(1.1</w:t>
            </w:r>
            <w:r w:rsidR="00252D6C" w:rsidRPr="001D52A0">
              <w:rPr>
                <w:rFonts w:asciiTheme="minorHAnsi" w:hAnsiTheme="minorHAnsi" w:cs="Arial"/>
                <w:sz w:val="22"/>
                <w:szCs w:val="22"/>
                <w:lang w:eastAsia="en-GB"/>
              </w:rPr>
              <w:t>)</w:t>
            </w:r>
          </w:p>
        </w:tc>
      </w:tr>
      <w:tr w:rsidR="00252D6C" w:rsidRPr="001D52A0" w14:paraId="24E554F6" w14:textId="77777777" w:rsidTr="003B7E85">
        <w:tc>
          <w:tcPr>
            <w:tcW w:w="2514" w:type="dxa"/>
            <w:shd w:val="clear" w:color="auto" w:fill="auto"/>
          </w:tcPr>
          <w:p w14:paraId="54D64842" w14:textId="77777777" w:rsidR="00252D6C" w:rsidRPr="001D52A0" w:rsidRDefault="00252D6C" w:rsidP="00252D6C">
            <w:pPr>
              <w:autoSpaceDE w:val="0"/>
              <w:autoSpaceDN w:val="0"/>
              <w:adjustRightInd w:val="0"/>
              <w:jc w:val="both"/>
              <w:rPr>
                <w:rFonts w:asciiTheme="minorHAnsi" w:hAnsiTheme="minorHAnsi" w:cs="Arial"/>
                <w:sz w:val="22"/>
                <w:szCs w:val="22"/>
                <w:lang w:eastAsia="en-GB"/>
              </w:rPr>
            </w:pPr>
            <w:r w:rsidRPr="001D52A0">
              <w:rPr>
                <w:rFonts w:asciiTheme="minorHAnsi" w:hAnsiTheme="minorHAnsi" w:cs="Arial"/>
                <w:sz w:val="22"/>
                <w:szCs w:val="22"/>
                <w:lang w:eastAsia="en-GB"/>
              </w:rPr>
              <w:t>Projects</w:t>
            </w:r>
          </w:p>
        </w:tc>
        <w:tc>
          <w:tcPr>
            <w:tcW w:w="1554" w:type="dxa"/>
          </w:tcPr>
          <w:p w14:paraId="3B9EED4F" w14:textId="77777777" w:rsidR="00252D6C" w:rsidRPr="001D52A0" w:rsidRDefault="00252D6C" w:rsidP="00252D6C">
            <w:pPr>
              <w:autoSpaceDE w:val="0"/>
              <w:autoSpaceDN w:val="0"/>
              <w:adjustRightInd w:val="0"/>
              <w:jc w:val="center"/>
              <w:rPr>
                <w:rFonts w:asciiTheme="minorHAnsi" w:hAnsiTheme="minorHAnsi" w:cs="Arial"/>
                <w:sz w:val="22"/>
                <w:szCs w:val="22"/>
                <w:lang w:eastAsia="en-GB"/>
              </w:rPr>
            </w:pPr>
            <w:r w:rsidRPr="001D52A0">
              <w:rPr>
                <w:rFonts w:asciiTheme="minorHAnsi" w:hAnsiTheme="minorHAnsi" w:cs="Arial"/>
                <w:sz w:val="22"/>
                <w:szCs w:val="22"/>
                <w:lang w:eastAsia="en-GB"/>
              </w:rPr>
              <w:t>8.0</w:t>
            </w:r>
          </w:p>
        </w:tc>
        <w:tc>
          <w:tcPr>
            <w:tcW w:w="1555" w:type="dxa"/>
            <w:shd w:val="clear" w:color="auto" w:fill="auto"/>
          </w:tcPr>
          <w:p w14:paraId="5B02C7AA" w14:textId="77777777" w:rsidR="00252D6C" w:rsidRPr="001D52A0" w:rsidRDefault="00252D6C" w:rsidP="00252D6C">
            <w:pPr>
              <w:autoSpaceDE w:val="0"/>
              <w:autoSpaceDN w:val="0"/>
              <w:adjustRightInd w:val="0"/>
              <w:jc w:val="center"/>
              <w:rPr>
                <w:rFonts w:asciiTheme="minorHAnsi" w:hAnsiTheme="minorHAnsi" w:cs="Arial"/>
                <w:sz w:val="22"/>
                <w:szCs w:val="22"/>
                <w:lang w:eastAsia="en-GB"/>
              </w:rPr>
            </w:pPr>
            <w:r w:rsidRPr="001D52A0">
              <w:rPr>
                <w:rFonts w:asciiTheme="minorHAnsi" w:hAnsiTheme="minorHAnsi" w:cs="Arial"/>
                <w:sz w:val="22"/>
                <w:szCs w:val="22"/>
                <w:lang w:eastAsia="en-GB"/>
              </w:rPr>
              <w:t>8.6</w:t>
            </w:r>
          </w:p>
        </w:tc>
        <w:tc>
          <w:tcPr>
            <w:tcW w:w="1559" w:type="dxa"/>
            <w:shd w:val="clear" w:color="auto" w:fill="auto"/>
          </w:tcPr>
          <w:p w14:paraId="14B2A80A" w14:textId="77777777" w:rsidR="00252D6C" w:rsidRPr="001D52A0" w:rsidRDefault="00815B4E" w:rsidP="00252D6C">
            <w:pPr>
              <w:autoSpaceDE w:val="0"/>
              <w:autoSpaceDN w:val="0"/>
              <w:adjustRightInd w:val="0"/>
              <w:jc w:val="center"/>
              <w:rPr>
                <w:rFonts w:asciiTheme="minorHAnsi" w:hAnsiTheme="minorHAnsi" w:cs="Arial"/>
                <w:sz w:val="22"/>
                <w:szCs w:val="22"/>
                <w:lang w:eastAsia="en-GB"/>
              </w:rPr>
            </w:pPr>
            <w:r w:rsidRPr="001D52A0">
              <w:rPr>
                <w:rFonts w:asciiTheme="minorHAnsi" w:hAnsiTheme="minorHAnsi" w:cs="Arial"/>
                <w:sz w:val="22"/>
                <w:szCs w:val="22"/>
                <w:lang w:eastAsia="en-GB"/>
              </w:rPr>
              <w:t>0.6</w:t>
            </w:r>
          </w:p>
        </w:tc>
      </w:tr>
      <w:tr w:rsidR="00252D6C" w:rsidRPr="001D52A0" w14:paraId="37D468A6" w14:textId="77777777" w:rsidTr="003B7E85">
        <w:tc>
          <w:tcPr>
            <w:tcW w:w="2514" w:type="dxa"/>
            <w:shd w:val="clear" w:color="auto" w:fill="auto"/>
          </w:tcPr>
          <w:p w14:paraId="0CF9263B" w14:textId="77777777" w:rsidR="00252D6C" w:rsidRPr="001D52A0" w:rsidRDefault="00252D6C" w:rsidP="00252D6C">
            <w:pPr>
              <w:autoSpaceDE w:val="0"/>
              <w:autoSpaceDN w:val="0"/>
              <w:adjustRightInd w:val="0"/>
              <w:jc w:val="both"/>
              <w:rPr>
                <w:rFonts w:asciiTheme="minorHAnsi" w:hAnsiTheme="minorHAnsi" w:cs="Arial"/>
                <w:sz w:val="22"/>
                <w:szCs w:val="22"/>
                <w:lang w:eastAsia="en-GB"/>
              </w:rPr>
            </w:pPr>
            <w:r w:rsidRPr="001D52A0">
              <w:rPr>
                <w:rFonts w:asciiTheme="minorHAnsi" w:hAnsiTheme="minorHAnsi" w:cs="Arial"/>
                <w:b/>
                <w:sz w:val="22"/>
                <w:szCs w:val="22"/>
                <w:lang w:eastAsia="en-GB"/>
              </w:rPr>
              <w:t>Total</w:t>
            </w:r>
          </w:p>
        </w:tc>
        <w:tc>
          <w:tcPr>
            <w:tcW w:w="1554" w:type="dxa"/>
          </w:tcPr>
          <w:p w14:paraId="4D3C5623" w14:textId="77777777" w:rsidR="00252D6C" w:rsidRPr="001D52A0" w:rsidRDefault="00252D6C" w:rsidP="00252D6C">
            <w:pPr>
              <w:autoSpaceDE w:val="0"/>
              <w:autoSpaceDN w:val="0"/>
              <w:adjustRightInd w:val="0"/>
              <w:jc w:val="center"/>
              <w:rPr>
                <w:rFonts w:asciiTheme="minorHAnsi" w:hAnsiTheme="minorHAnsi" w:cs="Arial"/>
                <w:b/>
                <w:sz w:val="22"/>
                <w:szCs w:val="22"/>
                <w:lang w:eastAsia="en-GB"/>
              </w:rPr>
            </w:pPr>
            <w:r w:rsidRPr="001D52A0">
              <w:rPr>
                <w:rFonts w:asciiTheme="minorHAnsi" w:hAnsiTheme="minorHAnsi" w:cs="Arial"/>
                <w:b/>
                <w:sz w:val="22"/>
                <w:szCs w:val="22"/>
                <w:lang w:eastAsia="en-GB"/>
              </w:rPr>
              <w:t>36.7</w:t>
            </w:r>
          </w:p>
        </w:tc>
        <w:tc>
          <w:tcPr>
            <w:tcW w:w="1555" w:type="dxa"/>
            <w:shd w:val="clear" w:color="auto" w:fill="auto"/>
          </w:tcPr>
          <w:p w14:paraId="1EC1591B" w14:textId="443FEB88" w:rsidR="00252D6C" w:rsidRPr="001D52A0" w:rsidRDefault="00252D6C" w:rsidP="00CD7158">
            <w:pPr>
              <w:autoSpaceDE w:val="0"/>
              <w:autoSpaceDN w:val="0"/>
              <w:adjustRightInd w:val="0"/>
              <w:jc w:val="center"/>
              <w:rPr>
                <w:rFonts w:asciiTheme="minorHAnsi" w:hAnsiTheme="minorHAnsi" w:cs="Arial"/>
                <w:b/>
                <w:sz w:val="22"/>
                <w:szCs w:val="22"/>
                <w:lang w:eastAsia="en-GB"/>
              </w:rPr>
            </w:pPr>
            <w:r w:rsidRPr="001D52A0">
              <w:rPr>
                <w:rFonts w:asciiTheme="minorHAnsi" w:hAnsiTheme="minorHAnsi" w:cs="Arial"/>
                <w:b/>
                <w:sz w:val="22"/>
                <w:szCs w:val="22"/>
                <w:lang w:eastAsia="en-GB"/>
              </w:rPr>
              <w:t>3</w:t>
            </w:r>
            <w:r w:rsidR="00CD7158" w:rsidRPr="001D52A0">
              <w:rPr>
                <w:rFonts w:asciiTheme="minorHAnsi" w:hAnsiTheme="minorHAnsi" w:cs="Arial"/>
                <w:b/>
                <w:sz w:val="22"/>
                <w:szCs w:val="22"/>
                <w:lang w:eastAsia="en-GB"/>
              </w:rPr>
              <w:t>8</w:t>
            </w:r>
            <w:r w:rsidRPr="001D52A0">
              <w:rPr>
                <w:rFonts w:asciiTheme="minorHAnsi" w:hAnsiTheme="minorHAnsi" w:cs="Arial"/>
                <w:b/>
                <w:sz w:val="22"/>
                <w:szCs w:val="22"/>
                <w:lang w:eastAsia="en-GB"/>
              </w:rPr>
              <w:t>.2</w:t>
            </w:r>
          </w:p>
        </w:tc>
        <w:tc>
          <w:tcPr>
            <w:tcW w:w="1559" w:type="dxa"/>
            <w:shd w:val="clear" w:color="auto" w:fill="auto"/>
          </w:tcPr>
          <w:p w14:paraId="7A8412DC" w14:textId="4852CBF0" w:rsidR="00252D6C" w:rsidRPr="001D52A0" w:rsidRDefault="00CD7158" w:rsidP="00252D6C">
            <w:pPr>
              <w:autoSpaceDE w:val="0"/>
              <w:autoSpaceDN w:val="0"/>
              <w:adjustRightInd w:val="0"/>
              <w:jc w:val="center"/>
              <w:rPr>
                <w:rFonts w:asciiTheme="minorHAnsi" w:hAnsiTheme="minorHAnsi" w:cs="Arial"/>
                <w:b/>
                <w:sz w:val="22"/>
                <w:szCs w:val="22"/>
                <w:lang w:eastAsia="en-GB"/>
              </w:rPr>
            </w:pPr>
            <w:r w:rsidRPr="001D52A0">
              <w:rPr>
                <w:rFonts w:asciiTheme="minorHAnsi" w:hAnsiTheme="minorHAnsi" w:cs="Arial"/>
                <w:b/>
                <w:sz w:val="22"/>
                <w:szCs w:val="22"/>
                <w:lang w:eastAsia="en-GB"/>
              </w:rPr>
              <w:t>1.5</w:t>
            </w:r>
          </w:p>
        </w:tc>
      </w:tr>
    </w:tbl>
    <w:p w14:paraId="6ABF8357" w14:textId="77777777" w:rsidR="000574AC" w:rsidRPr="001D52A0" w:rsidRDefault="000574AC" w:rsidP="000574AC">
      <w:pPr>
        <w:autoSpaceDE w:val="0"/>
        <w:autoSpaceDN w:val="0"/>
        <w:adjustRightInd w:val="0"/>
        <w:spacing w:before="240" w:after="120"/>
        <w:jc w:val="both"/>
        <w:rPr>
          <w:rFonts w:asciiTheme="minorHAnsi" w:hAnsiTheme="minorHAnsi" w:cs="Arial"/>
          <w:sz w:val="22"/>
          <w:szCs w:val="22"/>
          <w:lang w:eastAsia="en-GB"/>
        </w:rPr>
      </w:pPr>
    </w:p>
    <w:tbl>
      <w:tblPr>
        <w:tblW w:w="7182"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1554"/>
        <w:gridCol w:w="1555"/>
        <w:gridCol w:w="1559"/>
      </w:tblGrid>
      <w:tr w:rsidR="00252D6C" w:rsidRPr="001D52A0" w14:paraId="34C4CBC3" w14:textId="77777777" w:rsidTr="00252D6C">
        <w:tc>
          <w:tcPr>
            <w:tcW w:w="2514" w:type="dxa"/>
            <w:shd w:val="clear" w:color="auto" w:fill="auto"/>
          </w:tcPr>
          <w:p w14:paraId="501E950B" w14:textId="77777777" w:rsidR="00252D6C" w:rsidRPr="001D52A0" w:rsidRDefault="00252D6C" w:rsidP="00252D6C">
            <w:pPr>
              <w:autoSpaceDE w:val="0"/>
              <w:autoSpaceDN w:val="0"/>
              <w:adjustRightInd w:val="0"/>
              <w:jc w:val="both"/>
              <w:rPr>
                <w:rFonts w:asciiTheme="minorHAnsi" w:hAnsiTheme="minorHAnsi" w:cs="Arial"/>
                <w:b/>
                <w:sz w:val="22"/>
                <w:szCs w:val="22"/>
                <w:lang w:eastAsia="en-GB"/>
              </w:rPr>
            </w:pPr>
            <w:r w:rsidRPr="001D52A0">
              <w:rPr>
                <w:rFonts w:asciiTheme="minorHAnsi" w:hAnsiTheme="minorHAnsi" w:cs="Arial"/>
                <w:b/>
                <w:sz w:val="22"/>
                <w:szCs w:val="22"/>
                <w:lang w:eastAsia="en-GB"/>
              </w:rPr>
              <w:t>Programme Activity</w:t>
            </w:r>
          </w:p>
        </w:tc>
        <w:tc>
          <w:tcPr>
            <w:tcW w:w="1554" w:type="dxa"/>
          </w:tcPr>
          <w:p w14:paraId="4048AB2D" w14:textId="77777777" w:rsidR="00252D6C" w:rsidRPr="001D52A0" w:rsidRDefault="00252D6C" w:rsidP="00252D6C">
            <w:pPr>
              <w:autoSpaceDE w:val="0"/>
              <w:autoSpaceDN w:val="0"/>
              <w:adjustRightInd w:val="0"/>
              <w:jc w:val="center"/>
              <w:rPr>
                <w:rFonts w:asciiTheme="minorHAnsi" w:hAnsiTheme="minorHAnsi" w:cs="Arial"/>
                <w:b/>
                <w:sz w:val="22"/>
                <w:szCs w:val="22"/>
                <w:lang w:eastAsia="en-GB"/>
              </w:rPr>
            </w:pPr>
            <w:r w:rsidRPr="001D52A0">
              <w:rPr>
                <w:rFonts w:asciiTheme="minorHAnsi" w:hAnsiTheme="minorHAnsi" w:cs="Arial"/>
                <w:b/>
                <w:sz w:val="22"/>
                <w:szCs w:val="22"/>
                <w:lang w:eastAsia="en-GB"/>
              </w:rPr>
              <w:t>2023/24</w:t>
            </w:r>
          </w:p>
        </w:tc>
        <w:tc>
          <w:tcPr>
            <w:tcW w:w="1555" w:type="dxa"/>
            <w:shd w:val="clear" w:color="auto" w:fill="auto"/>
          </w:tcPr>
          <w:p w14:paraId="3EDBB191" w14:textId="77777777" w:rsidR="00252D6C" w:rsidRPr="001D52A0" w:rsidRDefault="00252D6C" w:rsidP="00252D6C">
            <w:pPr>
              <w:autoSpaceDE w:val="0"/>
              <w:autoSpaceDN w:val="0"/>
              <w:adjustRightInd w:val="0"/>
              <w:jc w:val="center"/>
              <w:rPr>
                <w:rFonts w:asciiTheme="minorHAnsi" w:hAnsiTheme="minorHAnsi" w:cs="Arial"/>
                <w:b/>
                <w:sz w:val="22"/>
                <w:szCs w:val="22"/>
                <w:lang w:eastAsia="en-GB"/>
              </w:rPr>
            </w:pPr>
            <w:r w:rsidRPr="001D52A0">
              <w:rPr>
                <w:rFonts w:asciiTheme="minorHAnsi" w:hAnsiTheme="minorHAnsi" w:cs="Arial"/>
                <w:b/>
                <w:sz w:val="22"/>
                <w:szCs w:val="22"/>
                <w:lang w:eastAsia="en-GB"/>
              </w:rPr>
              <w:t>2024/25</w:t>
            </w:r>
          </w:p>
        </w:tc>
        <w:tc>
          <w:tcPr>
            <w:tcW w:w="1559" w:type="dxa"/>
            <w:shd w:val="clear" w:color="auto" w:fill="auto"/>
          </w:tcPr>
          <w:p w14:paraId="0D37E7D0" w14:textId="77777777" w:rsidR="00252D6C" w:rsidRPr="001D52A0" w:rsidRDefault="00252D6C" w:rsidP="00252D6C">
            <w:pPr>
              <w:autoSpaceDE w:val="0"/>
              <w:autoSpaceDN w:val="0"/>
              <w:adjustRightInd w:val="0"/>
              <w:jc w:val="center"/>
              <w:rPr>
                <w:rFonts w:asciiTheme="minorHAnsi" w:hAnsiTheme="minorHAnsi" w:cs="Arial"/>
                <w:b/>
                <w:sz w:val="22"/>
                <w:szCs w:val="22"/>
                <w:lang w:eastAsia="en-GB"/>
              </w:rPr>
            </w:pPr>
            <w:r w:rsidRPr="001D52A0">
              <w:rPr>
                <w:rFonts w:asciiTheme="minorHAnsi" w:hAnsiTheme="minorHAnsi" w:cs="Arial"/>
                <w:b/>
                <w:sz w:val="22"/>
                <w:szCs w:val="22"/>
                <w:lang w:eastAsia="en-GB"/>
              </w:rPr>
              <w:t xml:space="preserve">Change </w:t>
            </w:r>
          </w:p>
        </w:tc>
      </w:tr>
      <w:tr w:rsidR="00252D6C" w:rsidRPr="001D52A0" w14:paraId="19E65B1D" w14:textId="77777777" w:rsidTr="00252D6C">
        <w:tc>
          <w:tcPr>
            <w:tcW w:w="2514" w:type="dxa"/>
            <w:shd w:val="clear" w:color="auto" w:fill="auto"/>
          </w:tcPr>
          <w:p w14:paraId="7CC9D054" w14:textId="77777777" w:rsidR="00252D6C" w:rsidRPr="001D52A0" w:rsidRDefault="00252D6C" w:rsidP="00252D6C">
            <w:pPr>
              <w:autoSpaceDE w:val="0"/>
              <w:autoSpaceDN w:val="0"/>
              <w:adjustRightInd w:val="0"/>
              <w:rPr>
                <w:rFonts w:asciiTheme="minorHAnsi" w:hAnsiTheme="minorHAnsi" w:cs="Arial"/>
                <w:sz w:val="22"/>
                <w:szCs w:val="22"/>
                <w:lang w:eastAsia="en-GB"/>
              </w:rPr>
            </w:pPr>
            <w:r w:rsidRPr="001D52A0">
              <w:rPr>
                <w:rFonts w:asciiTheme="minorHAnsi" w:hAnsiTheme="minorHAnsi" w:cs="Arial"/>
                <w:sz w:val="22"/>
                <w:szCs w:val="22"/>
                <w:lang w:eastAsia="en-GB"/>
              </w:rPr>
              <w:t>Contracts/Operations</w:t>
            </w:r>
          </w:p>
        </w:tc>
        <w:tc>
          <w:tcPr>
            <w:tcW w:w="1554" w:type="dxa"/>
          </w:tcPr>
          <w:p w14:paraId="654A1435" w14:textId="77777777" w:rsidR="00252D6C" w:rsidRPr="001D52A0" w:rsidRDefault="00252D6C" w:rsidP="00252D6C">
            <w:pPr>
              <w:autoSpaceDE w:val="0"/>
              <w:autoSpaceDN w:val="0"/>
              <w:adjustRightInd w:val="0"/>
              <w:jc w:val="center"/>
              <w:rPr>
                <w:rFonts w:asciiTheme="minorHAnsi" w:hAnsiTheme="minorHAnsi" w:cs="Arial"/>
                <w:sz w:val="22"/>
                <w:szCs w:val="22"/>
                <w:lang w:eastAsia="en-GB"/>
              </w:rPr>
            </w:pPr>
            <w:r w:rsidRPr="001D52A0">
              <w:rPr>
                <w:rFonts w:asciiTheme="minorHAnsi" w:hAnsiTheme="minorHAnsi" w:cs="Arial"/>
                <w:sz w:val="22"/>
                <w:szCs w:val="22"/>
                <w:lang w:eastAsia="en-GB"/>
              </w:rPr>
              <w:t>1.0</w:t>
            </w:r>
          </w:p>
        </w:tc>
        <w:tc>
          <w:tcPr>
            <w:tcW w:w="1555" w:type="dxa"/>
            <w:shd w:val="clear" w:color="auto" w:fill="auto"/>
          </w:tcPr>
          <w:p w14:paraId="65F63275" w14:textId="77777777" w:rsidR="00252D6C" w:rsidRPr="001D52A0" w:rsidRDefault="00252D6C" w:rsidP="00252D6C">
            <w:pPr>
              <w:autoSpaceDE w:val="0"/>
              <w:autoSpaceDN w:val="0"/>
              <w:adjustRightInd w:val="0"/>
              <w:jc w:val="center"/>
              <w:rPr>
                <w:rFonts w:asciiTheme="minorHAnsi" w:hAnsiTheme="minorHAnsi" w:cs="Arial"/>
                <w:sz w:val="22"/>
                <w:szCs w:val="22"/>
                <w:lang w:eastAsia="en-GB"/>
              </w:rPr>
            </w:pPr>
            <w:r w:rsidRPr="001D52A0">
              <w:rPr>
                <w:rFonts w:asciiTheme="minorHAnsi" w:hAnsiTheme="minorHAnsi" w:cs="Arial"/>
                <w:sz w:val="22"/>
                <w:szCs w:val="22"/>
                <w:lang w:eastAsia="en-GB"/>
              </w:rPr>
              <w:t>1.0</w:t>
            </w:r>
          </w:p>
        </w:tc>
        <w:tc>
          <w:tcPr>
            <w:tcW w:w="1559" w:type="dxa"/>
            <w:shd w:val="clear" w:color="auto" w:fill="auto"/>
          </w:tcPr>
          <w:p w14:paraId="30FAA05A" w14:textId="77777777" w:rsidR="00252D6C" w:rsidRPr="001D52A0" w:rsidRDefault="00252D6C" w:rsidP="00252D6C">
            <w:pPr>
              <w:autoSpaceDE w:val="0"/>
              <w:autoSpaceDN w:val="0"/>
              <w:adjustRightInd w:val="0"/>
              <w:jc w:val="center"/>
              <w:rPr>
                <w:rFonts w:asciiTheme="minorHAnsi" w:hAnsiTheme="minorHAnsi" w:cs="Arial"/>
                <w:sz w:val="22"/>
                <w:szCs w:val="22"/>
                <w:lang w:eastAsia="en-GB"/>
              </w:rPr>
            </w:pPr>
            <w:r w:rsidRPr="001D52A0">
              <w:rPr>
                <w:rFonts w:asciiTheme="minorHAnsi" w:hAnsiTheme="minorHAnsi" w:cs="Arial"/>
                <w:sz w:val="22"/>
                <w:szCs w:val="22"/>
                <w:lang w:eastAsia="en-GB"/>
              </w:rPr>
              <w:t>0</w:t>
            </w:r>
          </w:p>
        </w:tc>
      </w:tr>
      <w:tr w:rsidR="00252D6C" w:rsidRPr="001D52A0" w14:paraId="6EAEA614" w14:textId="77777777" w:rsidTr="00252D6C">
        <w:tc>
          <w:tcPr>
            <w:tcW w:w="2514" w:type="dxa"/>
            <w:shd w:val="clear" w:color="auto" w:fill="auto"/>
          </w:tcPr>
          <w:p w14:paraId="354226C7" w14:textId="77777777" w:rsidR="00252D6C" w:rsidRPr="001D52A0" w:rsidRDefault="00252D6C" w:rsidP="00252D6C">
            <w:pPr>
              <w:autoSpaceDE w:val="0"/>
              <w:autoSpaceDN w:val="0"/>
              <w:adjustRightInd w:val="0"/>
              <w:jc w:val="both"/>
              <w:rPr>
                <w:rFonts w:asciiTheme="minorHAnsi" w:hAnsiTheme="minorHAnsi" w:cs="Arial"/>
                <w:sz w:val="22"/>
                <w:szCs w:val="22"/>
                <w:lang w:eastAsia="en-GB"/>
              </w:rPr>
            </w:pPr>
            <w:r w:rsidRPr="001D52A0">
              <w:rPr>
                <w:rFonts w:asciiTheme="minorHAnsi" w:hAnsiTheme="minorHAnsi" w:cs="Arial"/>
                <w:sz w:val="22"/>
                <w:szCs w:val="22"/>
                <w:lang w:eastAsia="en-GB"/>
              </w:rPr>
              <w:t>Corporate Services</w:t>
            </w:r>
          </w:p>
        </w:tc>
        <w:tc>
          <w:tcPr>
            <w:tcW w:w="1554" w:type="dxa"/>
          </w:tcPr>
          <w:p w14:paraId="45D65F75" w14:textId="77777777" w:rsidR="00252D6C" w:rsidRPr="001D52A0" w:rsidRDefault="00252D6C" w:rsidP="00252D6C">
            <w:pPr>
              <w:autoSpaceDE w:val="0"/>
              <w:autoSpaceDN w:val="0"/>
              <w:adjustRightInd w:val="0"/>
              <w:jc w:val="center"/>
              <w:rPr>
                <w:rFonts w:asciiTheme="minorHAnsi" w:hAnsiTheme="minorHAnsi" w:cs="Arial"/>
                <w:sz w:val="22"/>
                <w:szCs w:val="22"/>
                <w:lang w:eastAsia="en-GB"/>
              </w:rPr>
            </w:pPr>
            <w:r w:rsidRPr="001D52A0">
              <w:rPr>
                <w:rFonts w:asciiTheme="minorHAnsi" w:hAnsiTheme="minorHAnsi" w:cs="Arial"/>
                <w:sz w:val="22"/>
                <w:szCs w:val="22"/>
                <w:lang w:eastAsia="en-GB"/>
              </w:rPr>
              <w:t>2.0</w:t>
            </w:r>
          </w:p>
        </w:tc>
        <w:tc>
          <w:tcPr>
            <w:tcW w:w="1555" w:type="dxa"/>
            <w:shd w:val="clear" w:color="auto" w:fill="auto"/>
          </w:tcPr>
          <w:p w14:paraId="4C18EA10" w14:textId="77777777" w:rsidR="00252D6C" w:rsidRPr="001D52A0" w:rsidRDefault="00815B4E" w:rsidP="00252D6C">
            <w:pPr>
              <w:autoSpaceDE w:val="0"/>
              <w:autoSpaceDN w:val="0"/>
              <w:adjustRightInd w:val="0"/>
              <w:jc w:val="center"/>
              <w:rPr>
                <w:rFonts w:asciiTheme="minorHAnsi" w:hAnsiTheme="minorHAnsi" w:cs="Arial"/>
                <w:sz w:val="22"/>
                <w:szCs w:val="22"/>
                <w:lang w:eastAsia="en-GB"/>
              </w:rPr>
            </w:pPr>
            <w:r w:rsidRPr="001D52A0">
              <w:rPr>
                <w:rFonts w:asciiTheme="minorHAnsi" w:hAnsiTheme="minorHAnsi" w:cs="Arial"/>
                <w:sz w:val="22"/>
                <w:szCs w:val="22"/>
                <w:lang w:eastAsia="en-GB"/>
              </w:rPr>
              <w:t>1</w:t>
            </w:r>
            <w:r w:rsidR="00252D6C" w:rsidRPr="001D52A0">
              <w:rPr>
                <w:rFonts w:asciiTheme="minorHAnsi" w:hAnsiTheme="minorHAnsi" w:cs="Arial"/>
                <w:sz w:val="22"/>
                <w:szCs w:val="22"/>
                <w:lang w:eastAsia="en-GB"/>
              </w:rPr>
              <w:t>.0</w:t>
            </w:r>
          </w:p>
        </w:tc>
        <w:tc>
          <w:tcPr>
            <w:tcW w:w="1559" w:type="dxa"/>
            <w:shd w:val="clear" w:color="auto" w:fill="auto"/>
          </w:tcPr>
          <w:p w14:paraId="72D84A7E" w14:textId="77777777" w:rsidR="00252D6C" w:rsidRPr="001D52A0" w:rsidRDefault="00815B4E" w:rsidP="00252D6C">
            <w:pPr>
              <w:autoSpaceDE w:val="0"/>
              <w:autoSpaceDN w:val="0"/>
              <w:adjustRightInd w:val="0"/>
              <w:jc w:val="center"/>
              <w:rPr>
                <w:rFonts w:asciiTheme="minorHAnsi" w:hAnsiTheme="minorHAnsi" w:cs="Arial"/>
                <w:sz w:val="22"/>
                <w:szCs w:val="22"/>
                <w:lang w:eastAsia="en-GB"/>
              </w:rPr>
            </w:pPr>
            <w:r w:rsidRPr="001D52A0">
              <w:rPr>
                <w:rFonts w:asciiTheme="minorHAnsi" w:hAnsiTheme="minorHAnsi" w:cs="Arial"/>
                <w:sz w:val="22"/>
                <w:szCs w:val="22"/>
                <w:lang w:eastAsia="en-GB"/>
              </w:rPr>
              <w:t>(</w:t>
            </w:r>
            <w:r w:rsidR="00252D6C" w:rsidRPr="001D52A0">
              <w:rPr>
                <w:rFonts w:asciiTheme="minorHAnsi" w:hAnsiTheme="minorHAnsi" w:cs="Arial"/>
                <w:sz w:val="22"/>
                <w:szCs w:val="22"/>
                <w:lang w:eastAsia="en-GB"/>
              </w:rPr>
              <w:t>1.0</w:t>
            </w:r>
            <w:r w:rsidRPr="001D52A0">
              <w:rPr>
                <w:rFonts w:asciiTheme="minorHAnsi" w:hAnsiTheme="minorHAnsi" w:cs="Arial"/>
                <w:sz w:val="22"/>
                <w:szCs w:val="22"/>
                <w:lang w:eastAsia="en-GB"/>
              </w:rPr>
              <w:t>)</w:t>
            </w:r>
          </w:p>
        </w:tc>
      </w:tr>
      <w:tr w:rsidR="00252D6C" w:rsidRPr="001D52A0" w14:paraId="06EEC3BA" w14:textId="77777777" w:rsidTr="00252D6C">
        <w:tc>
          <w:tcPr>
            <w:tcW w:w="2514" w:type="dxa"/>
            <w:shd w:val="clear" w:color="auto" w:fill="auto"/>
          </w:tcPr>
          <w:p w14:paraId="3D263318" w14:textId="77777777" w:rsidR="00252D6C" w:rsidRPr="001D52A0" w:rsidRDefault="00252D6C" w:rsidP="00252D6C">
            <w:pPr>
              <w:autoSpaceDE w:val="0"/>
              <w:autoSpaceDN w:val="0"/>
              <w:adjustRightInd w:val="0"/>
              <w:jc w:val="both"/>
              <w:rPr>
                <w:rFonts w:asciiTheme="minorHAnsi" w:hAnsiTheme="minorHAnsi" w:cs="Arial"/>
                <w:sz w:val="22"/>
                <w:szCs w:val="22"/>
                <w:lang w:eastAsia="en-GB"/>
              </w:rPr>
            </w:pPr>
            <w:r w:rsidRPr="001D52A0">
              <w:rPr>
                <w:rFonts w:asciiTheme="minorHAnsi" w:hAnsiTheme="minorHAnsi" w:cs="Arial"/>
                <w:sz w:val="22"/>
                <w:szCs w:val="22"/>
                <w:lang w:eastAsia="en-GB"/>
              </w:rPr>
              <w:t>Projects</w:t>
            </w:r>
          </w:p>
        </w:tc>
        <w:tc>
          <w:tcPr>
            <w:tcW w:w="1554" w:type="dxa"/>
          </w:tcPr>
          <w:p w14:paraId="7D82F3DC" w14:textId="77777777" w:rsidR="00252D6C" w:rsidRPr="001D52A0" w:rsidRDefault="00252D6C" w:rsidP="00252D6C">
            <w:pPr>
              <w:autoSpaceDE w:val="0"/>
              <w:autoSpaceDN w:val="0"/>
              <w:adjustRightInd w:val="0"/>
              <w:jc w:val="center"/>
              <w:rPr>
                <w:rFonts w:asciiTheme="minorHAnsi" w:hAnsiTheme="minorHAnsi" w:cs="Arial"/>
                <w:sz w:val="22"/>
                <w:szCs w:val="22"/>
                <w:lang w:eastAsia="en-GB"/>
              </w:rPr>
            </w:pPr>
            <w:r w:rsidRPr="001D52A0">
              <w:rPr>
                <w:rFonts w:asciiTheme="minorHAnsi" w:hAnsiTheme="minorHAnsi" w:cs="Arial"/>
                <w:sz w:val="22"/>
                <w:szCs w:val="22"/>
                <w:lang w:eastAsia="en-GB"/>
              </w:rPr>
              <w:t>3.0</w:t>
            </w:r>
          </w:p>
        </w:tc>
        <w:tc>
          <w:tcPr>
            <w:tcW w:w="1555" w:type="dxa"/>
            <w:shd w:val="clear" w:color="auto" w:fill="auto"/>
          </w:tcPr>
          <w:p w14:paraId="23D23E74" w14:textId="77777777" w:rsidR="00252D6C" w:rsidRPr="001D52A0" w:rsidRDefault="00815B4E" w:rsidP="00252D6C">
            <w:pPr>
              <w:autoSpaceDE w:val="0"/>
              <w:autoSpaceDN w:val="0"/>
              <w:adjustRightInd w:val="0"/>
              <w:jc w:val="center"/>
              <w:rPr>
                <w:rFonts w:asciiTheme="minorHAnsi" w:hAnsiTheme="minorHAnsi" w:cs="Arial"/>
                <w:sz w:val="22"/>
                <w:szCs w:val="22"/>
                <w:lang w:eastAsia="en-GB"/>
              </w:rPr>
            </w:pPr>
            <w:r w:rsidRPr="001D52A0">
              <w:rPr>
                <w:rFonts w:asciiTheme="minorHAnsi" w:hAnsiTheme="minorHAnsi" w:cs="Arial"/>
                <w:sz w:val="22"/>
                <w:szCs w:val="22"/>
                <w:lang w:eastAsia="en-GB"/>
              </w:rPr>
              <w:t>2</w:t>
            </w:r>
            <w:r w:rsidR="00252D6C" w:rsidRPr="001D52A0">
              <w:rPr>
                <w:rFonts w:asciiTheme="minorHAnsi" w:hAnsiTheme="minorHAnsi" w:cs="Arial"/>
                <w:sz w:val="22"/>
                <w:szCs w:val="22"/>
                <w:lang w:eastAsia="en-GB"/>
              </w:rPr>
              <w:t>.0</w:t>
            </w:r>
          </w:p>
        </w:tc>
        <w:tc>
          <w:tcPr>
            <w:tcW w:w="1559" w:type="dxa"/>
            <w:shd w:val="clear" w:color="auto" w:fill="auto"/>
          </w:tcPr>
          <w:p w14:paraId="53B2A19C" w14:textId="77777777" w:rsidR="00252D6C" w:rsidRPr="001D52A0" w:rsidRDefault="00815B4E" w:rsidP="00252D6C">
            <w:pPr>
              <w:autoSpaceDE w:val="0"/>
              <w:autoSpaceDN w:val="0"/>
              <w:adjustRightInd w:val="0"/>
              <w:jc w:val="center"/>
              <w:rPr>
                <w:rFonts w:asciiTheme="minorHAnsi" w:hAnsiTheme="minorHAnsi" w:cs="Arial"/>
                <w:sz w:val="22"/>
                <w:szCs w:val="22"/>
                <w:lang w:eastAsia="en-GB"/>
              </w:rPr>
            </w:pPr>
            <w:r w:rsidRPr="001D52A0">
              <w:rPr>
                <w:rFonts w:asciiTheme="minorHAnsi" w:hAnsiTheme="minorHAnsi" w:cs="Arial"/>
                <w:sz w:val="22"/>
                <w:szCs w:val="22"/>
                <w:lang w:eastAsia="en-GB"/>
              </w:rPr>
              <w:t>(1</w:t>
            </w:r>
            <w:r w:rsidR="00252D6C" w:rsidRPr="001D52A0">
              <w:rPr>
                <w:rFonts w:asciiTheme="minorHAnsi" w:hAnsiTheme="minorHAnsi" w:cs="Arial"/>
                <w:sz w:val="22"/>
                <w:szCs w:val="22"/>
                <w:lang w:eastAsia="en-GB"/>
              </w:rPr>
              <w:t>.0</w:t>
            </w:r>
            <w:r w:rsidRPr="001D52A0">
              <w:rPr>
                <w:rFonts w:asciiTheme="minorHAnsi" w:hAnsiTheme="minorHAnsi" w:cs="Arial"/>
                <w:sz w:val="22"/>
                <w:szCs w:val="22"/>
                <w:lang w:eastAsia="en-GB"/>
              </w:rPr>
              <w:t>)</w:t>
            </w:r>
          </w:p>
        </w:tc>
      </w:tr>
      <w:tr w:rsidR="00252D6C" w:rsidRPr="001D52A0" w14:paraId="2E46A72F" w14:textId="77777777" w:rsidTr="00252D6C">
        <w:tc>
          <w:tcPr>
            <w:tcW w:w="2514" w:type="dxa"/>
            <w:shd w:val="clear" w:color="auto" w:fill="auto"/>
          </w:tcPr>
          <w:p w14:paraId="10D7792F" w14:textId="77777777" w:rsidR="00252D6C" w:rsidRPr="001D52A0" w:rsidRDefault="00252D6C" w:rsidP="00252D6C">
            <w:pPr>
              <w:autoSpaceDE w:val="0"/>
              <w:autoSpaceDN w:val="0"/>
              <w:adjustRightInd w:val="0"/>
              <w:jc w:val="both"/>
              <w:rPr>
                <w:rFonts w:asciiTheme="minorHAnsi" w:hAnsiTheme="minorHAnsi" w:cs="Arial"/>
                <w:sz w:val="22"/>
                <w:szCs w:val="22"/>
                <w:lang w:eastAsia="en-GB"/>
              </w:rPr>
            </w:pPr>
            <w:r w:rsidRPr="001D52A0">
              <w:rPr>
                <w:rFonts w:asciiTheme="minorHAnsi" w:hAnsiTheme="minorHAnsi" w:cs="Arial"/>
                <w:b/>
                <w:sz w:val="22"/>
                <w:szCs w:val="22"/>
                <w:lang w:eastAsia="en-GB"/>
              </w:rPr>
              <w:t>Total</w:t>
            </w:r>
          </w:p>
        </w:tc>
        <w:tc>
          <w:tcPr>
            <w:tcW w:w="1554" w:type="dxa"/>
          </w:tcPr>
          <w:p w14:paraId="3550C5E9" w14:textId="77777777" w:rsidR="00252D6C" w:rsidRPr="001D52A0" w:rsidRDefault="00252D6C" w:rsidP="00252D6C">
            <w:pPr>
              <w:autoSpaceDE w:val="0"/>
              <w:autoSpaceDN w:val="0"/>
              <w:adjustRightInd w:val="0"/>
              <w:jc w:val="center"/>
              <w:rPr>
                <w:rFonts w:asciiTheme="minorHAnsi" w:hAnsiTheme="minorHAnsi" w:cs="Arial"/>
                <w:sz w:val="22"/>
                <w:szCs w:val="22"/>
                <w:lang w:eastAsia="en-GB"/>
              </w:rPr>
            </w:pPr>
            <w:r w:rsidRPr="001D52A0">
              <w:rPr>
                <w:rFonts w:asciiTheme="minorHAnsi" w:hAnsiTheme="minorHAnsi" w:cs="Arial"/>
                <w:b/>
                <w:sz w:val="22"/>
                <w:szCs w:val="22"/>
                <w:lang w:eastAsia="en-GB"/>
              </w:rPr>
              <w:t>6.0</w:t>
            </w:r>
          </w:p>
        </w:tc>
        <w:tc>
          <w:tcPr>
            <w:tcW w:w="1555" w:type="dxa"/>
            <w:shd w:val="clear" w:color="auto" w:fill="auto"/>
          </w:tcPr>
          <w:p w14:paraId="76C53A35" w14:textId="77777777" w:rsidR="00252D6C" w:rsidRPr="001D52A0" w:rsidRDefault="00815B4E" w:rsidP="00252D6C">
            <w:pPr>
              <w:autoSpaceDE w:val="0"/>
              <w:autoSpaceDN w:val="0"/>
              <w:adjustRightInd w:val="0"/>
              <w:jc w:val="center"/>
              <w:rPr>
                <w:rFonts w:asciiTheme="minorHAnsi" w:hAnsiTheme="minorHAnsi" w:cs="Arial"/>
                <w:sz w:val="22"/>
                <w:szCs w:val="22"/>
                <w:lang w:eastAsia="en-GB"/>
              </w:rPr>
            </w:pPr>
            <w:r w:rsidRPr="001D52A0">
              <w:rPr>
                <w:rFonts w:asciiTheme="minorHAnsi" w:hAnsiTheme="minorHAnsi" w:cs="Arial"/>
                <w:b/>
                <w:sz w:val="22"/>
                <w:szCs w:val="22"/>
                <w:lang w:eastAsia="en-GB"/>
              </w:rPr>
              <w:t>4.0</w:t>
            </w:r>
          </w:p>
        </w:tc>
        <w:tc>
          <w:tcPr>
            <w:tcW w:w="1559" w:type="dxa"/>
            <w:shd w:val="clear" w:color="auto" w:fill="auto"/>
          </w:tcPr>
          <w:p w14:paraId="0756F6CC" w14:textId="77777777" w:rsidR="00252D6C" w:rsidRPr="001D52A0" w:rsidRDefault="00815B4E" w:rsidP="00252D6C">
            <w:pPr>
              <w:autoSpaceDE w:val="0"/>
              <w:autoSpaceDN w:val="0"/>
              <w:adjustRightInd w:val="0"/>
              <w:jc w:val="center"/>
              <w:rPr>
                <w:rFonts w:asciiTheme="minorHAnsi" w:hAnsiTheme="minorHAnsi" w:cs="Arial"/>
                <w:b/>
                <w:sz w:val="22"/>
                <w:szCs w:val="22"/>
                <w:lang w:eastAsia="en-GB"/>
              </w:rPr>
            </w:pPr>
            <w:r w:rsidRPr="001D52A0">
              <w:rPr>
                <w:rFonts w:asciiTheme="minorHAnsi" w:hAnsiTheme="minorHAnsi" w:cs="Arial"/>
                <w:b/>
                <w:sz w:val="22"/>
                <w:szCs w:val="22"/>
                <w:lang w:eastAsia="en-GB"/>
              </w:rPr>
              <w:t>(2.0)</w:t>
            </w:r>
          </w:p>
        </w:tc>
      </w:tr>
    </w:tbl>
    <w:p w14:paraId="67887CF4" w14:textId="77777777" w:rsidR="00390A74" w:rsidRPr="001D52A0" w:rsidRDefault="00390A74" w:rsidP="00390A74">
      <w:pPr>
        <w:autoSpaceDE w:val="0"/>
        <w:autoSpaceDN w:val="0"/>
        <w:adjustRightInd w:val="0"/>
        <w:spacing w:before="240" w:after="120"/>
        <w:ind w:left="170"/>
        <w:jc w:val="both"/>
        <w:rPr>
          <w:rFonts w:asciiTheme="minorHAnsi" w:hAnsiTheme="minorHAnsi" w:cs="Arial"/>
          <w:b/>
          <w:sz w:val="22"/>
          <w:szCs w:val="22"/>
        </w:rPr>
      </w:pPr>
    </w:p>
    <w:tbl>
      <w:tblPr>
        <w:tblW w:w="7182"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1554"/>
        <w:gridCol w:w="1555"/>
        <w:gridCol w:w="1559"/>
      </w:tblGrid>
      <w:tr w:rsidR="00390A74" w:rsidRPr="001D52A0" w14:paraId="2E74E94F" w14:textId="77777777" w:rsidTr="003B7E85">
        <w:tc>
          <w:tcPr>
            <w:tcW w:w="2514" w:type="dxa"/>
            <w:shd w:val="clear" w:color="auto" w:fill="auto"/>
          </w:tcPr>
          <w:p w14:paraId="7A2E9665" w14:textId="77777777" w:rsidR="00390A74" w:rsidRPr="001D52A0" w:rsidRDefault="00390A74" w:rsidP="003B7E85">
            <w:pPr>
              <w:autoSpaceDE w:val="0"/>
              <w:autoSpaceDN w:val="0"/>
              <w:adjustRightInd w:val="0"/>
              <w:jc w:val="both"/>
              <w:rPr>
                <w:rFonts w:asciiTheme="minorHAnsi" w:hAnsiTheme="minorHAnsi" w:cs="Arial"/>
                <w:sz w:val="22"/>
                <w:szCs w:val="22"/>
                <w:lang w:eastAsia="en-GB"/>
              </w:rPr>
            </w:pPr>
            <w:r w:rsidRPr="001D52A0">
              <w:rPr>
                <w:rFonts w:asciiTheme="minorHAnsi" w:hAnsiTheme="minorHAnsi" w:cs="Arial"/>
                <w:b/>
                <w:sz w:val="22"/>
                <w:szCs w:val="22"/>
                <w:lang w:eastAsia="en-GB"/>
              </w:rPr>
              <w:t>Total FTE</w:t>
            </w:r>
          </w:p>
        </w:tc>
        <w:tc>
          <w:tcPr>
            <w:tcW w:w="1554" w:type="dxa"/>
          </w:tcPr>
          <w:p w14:paraId="684CA743" w14:textId="77777777" w:rsidR="00390A74" w:rsidRPr="001D52A0" w:rsidRDefault="00262A33" w:rsidP="003B7E85">
            <w:pPr>
              <w:autoSpaceDE w:val="0"/>
              <w:autoSpaceDN w:val="0"/>
              <w:adjustRightInd w:val="0"/>
              <w:jc w:val="center"/>
              <w:rPr>
                <w:rFonts w:asciiTheme="minorHAnsi" w:hAnsiTheme="minorHAnsi" w:cs="Arial"/>
                <w:sz w:val="22"/>
                <w:szCs w:val="22"/>
                <w:lang w:eastAsia="en-GB"/>
              </w:rPr>
            </w:pPr>
            <w:r w:rsidRPr="001D52A0">
              <w:rPr>
                <w:rFonts w:asciiTheme="minorHAnsi" w:hAnsiTheme="minorHAnsi" w:cs="Arial"/>
                <w:b/>
                <w:sz w:val="22"/>
                <w:szCs w:val="22"/>
                <w:lang w:eastAsia="en-GB"/>
              </w:rPr>
              <w:t>42.7</w:t>
            </w:r>
          </w:p>
        </w:tc>
        <w:tc>
          <w:tcPr>
            <w:tcW w:w="1555" w:type="dxa"/>
            <w:shd w:val="clear" w:color="auto" w:fill="auto"/>
          </w:tcPr>
          <w:p w14:paraId="5FB997DE" w14:textId="5AF9A119" w:rsidR="00390A74" w:rsidRPr="001D52A0" w:rsidRDefault="00CD7158" w:rsidP="008A0669">
            <w:pPr>
              <w:autoSpaceDE w:val="0"/>
              <w:autoSpaceDN w:val="0"/>
              <w:adjustRightInd w:val="0"/>
              <w:jc w:val="center"/>
              <w:rPr>
                <w:rFonts w:asciiTheme="minorHAnsi" w:hAnsiTheme="minorHAnsi" w:cs="Arial"/>
                <w:sz w:val="22"/>
                <w:szCs w:val="22"/>
                <w:lang w:eastAsia="en-GB"/>
              </w:rPr>
            </w:pPr>
            <w:r w:rsidRPr="001D52A0">
              <w:rPr>
                <w:rFonts w:asciiTheme="minorHAnsi" w:hAnsiTheme="minorHAnsi" w:cs="Arial"/>
                <w:b/>
                <w:sz w:val="22"/>
                <w:szCs w:val="22"/>
                <w:lang w:eastAsia="en-GB"/>
              </w:rPr>
              <w:t>42</w:t>
            </w:r>
            <w:r w:rsidR="00262A33" w:rsidRPr="001D52A0">
              <w:rPr>
                <w:rFonts w:asciiTheme="minorHAnsi" w:hAnsiTheme="minorHAnsi" w:cs="Arial"/>
                <w:b/>
                <w:sz w:val="22"/>
                <w:szCs w:val="22"/>
                <w:lang w:eastAsia="en-GB"/>
              </w:rPr>
              <w:t>.2</w:t>
            </w:r>
          </w:p>
        </w:tc>
        <w:tc>
          <w:tcPr>
            <w:tcW w:w="1559" w:type="dxa"/>
            <w:shd w:val="clear" w:color="auto" w:fill="auto"/>
          </w:tcPr>
          <w:p w14:paraId="6E041A61" w14:textId="3EDD7955" w:rsidR="00390A74" w:rsidRPr="001D52A0" w:rsidRDefault="00CD7158" w:rsidP="008A0669">
            <w:pPr>
              <w:autoSpaceDE w:val="0"/>
              <w:autoSpaceDN w:val="0"/>
              <w:adjustRightInd w:val="0"/>
              <w:jc w:val="center"/>
              <w:rPr>
                <w:rFonts w:asciiTheme="minorHAnsi" w:hAnsiTheme="minorHAnsi" w:cs="Arial"/>
                <w:b/>
                <w:sz w:val="22"/>
                <w:szCs w:val="22"/>
                <w:lang w:eastAsia="en-GB"/>
              </w:rPr>
            </w:pPr>
            <w:r w:rsidRPr="001D52A0">
              <w:rPr>
                <w:rFonts w:asciiTheme="minorHAnsi" w:hAnsiTheme="minorHAnsi" w:cs="Arial"/>
                <w:b/>
                <w:sz w:val="22"/>
                <w:szCs w:val="22"/>
                <w:lang w:eastAsia="en-GB"/>
              </w:rPr>
              <w:t>(</w:t>
            </w:r>
            <w:r w:rsidR="00262A33" w:rsidRPr="001D52A0">
              <w:rPr>
                <w:rFonts w:asciiTheme="minorHAnsi" w:hAnsiTheme="minorHAnsi" w:cs="Arial"/>
                <w:b/>
                <w:sz w:val="22"/>
                <w:szCs w:val="22"/>
                <w:lang w:eastAsia="en-GB"/>
              </w:rPr>
              <w:t>0.5</w:t>
            </w:r>
            <w:r w:rsidRPr="001D52A0">
              <w:rPr>
                <w:rFonts w:asciiTheme="minorHAnsi" w:hAnsiTheme="minorHAnsi" w:cs="Arial"/>
                <w:b/>
                <w:sz w:val="22"/>
                <w:szCs w:val="22"/>
                <w:lang w:eastAsia="en-GB"/>
              </w:rPr>
              <w:t>)</w:t>
            </w:r>
          </w:p>
        </w:tc>
      </w:tr>
      <w:tr w:rsidR="00D17044" w:rsidRPr="001D52A0" w14:paraId="3265BA60" w14:textId="77777777" w:rsidTr="003B7E85">
        <w:tc>
          <w:tcPr>
            <w:tcW w:w="2514" w:type="dxa"/>
            <w:shd w:val="clear" w:color="auto" w:fill="auto"/>
          </w:tcPr>
          <w:p w14:paraId="02F56B59" w14:textId="77777777" w:rsidR="00D17044" w:rsidRPr="001D52A0" w:rsidRDefault="00D17044" w:rsidP="003B7E85">
            <w:pPr>
              <w:autoSpaceDE w:val="0"/>
              <w:autoSpaceDN w:val="0"/>
              <w:adjustRightInd w:val="0"/>
              <w:jc w:val="both"/>
              <w:rPr>
                <w:rFonts w:asciiTheme="minorHAnsi" w:hAnsiTheme="minorHAnsi" w:cs="Arial"/>
                <w:b/>
                <w:sz w:val="22"/>
                <w:szCs w:val="22"/>
                <w:lang w:eastAsia="en-GB"/>
              </w:rPr>
            </w:pPr>
          </w:p>
        </w:tc>
        <w:tc>
          <w:tcPr>
            <w:tcW w:w="1554" w:type="dxa"/>
          </w:tcPr>
          <w:p w14:paraId="1C23E9B6" w14:textId="77777777" w:rsidR="00D17044" w:rsidRPr="001D52A0" w:rsidRDefault="00D17044" w:rsidP="003B7E85">
            <w:pPr>
              <w:autoSpaceDE w:val="0"/>
              <w:autoSpaceDN w:val="0"/>
              <w:adjustRightInd w:val="0"/>
              <w:jc w:val="center"/>
              <w:rPr>
                <w:rFonts w:asciiTheme="minorHAnsi" w:hAnsiTheme="minorHAnsi" w:cs="Arial"/>
                <w:b/>
                <w:sz w:val="22"/>
                <w:szCs w:val="22"/>
                <w:lang w:eastAsia="en-GB"/>
              </w:rPr>
            </w:pPr>
          </w:p>
        </w:tc>
        <w:tc>
          <w:tcPr>
            <w:tcW w:w="1555" w:type="dxa"/>
            <w:shd w:val="clear" w:color="auto" w:fill="auto"/>
          </w:tcPr>
          <w:p w14:paraId="28C99D53" w14:textId="77777777" w:rsidR="00D17044" w:rsidRPr="001D52A0" w:rsidRDefault="00D17044" w:rsidP="008A0669">
            <w:pPr>
              <w:autoSpaceDE w:val="0"/>
              <w:autoSpaceDN w:val="0"/>
              <w:adjustRightInd w:val="0"/>
              <w:jc w:val="center"/>
              <w:rPr>
                <w:rFonts w:asciiTheme="minorHAnsi" w:hAnsiTheme="minorHAnsi" w:cs="Arial"/>
                <w:b/>
                <w:sz w:val="22"/>
                <w:szCs w:val="22"/>
                <w:lang w:eastAsia="en-GB"/>
              </w:rPr>
            </w:pPr>
          </w:p>
        </w:tc>
        <w:tc>
          <w:tcPr>
            <w:tcW w:w="1559" w:type="dxa"/>
            <w:shd w:val="clear" w:color="auto" w:fill="auto"/>
          </w:tcPr>
          <w:p w14:paraId="59A53817" w14:textId="77777777" w:rsidR="00D17044" w:rsidRPr="001D52A0" w:rsidRDefault="00D17044" w:rsidP="008A0669">
            <w:pPr>
              <w:autoSpaceDE w:val="0"/>
              <w:autoSpaceDN w:val="0"/>
              <w:adjustRightInd w:val="0"/>
              <w:jc w:val="center"/>
              <w:rPr>
                <w:rFonts w:asciiTheme="minorHAnsi" w:hAnsiTheme="minorHAnsi" w:cs="Arial"/>
                <w:b/>
                <w:sz w:val="22"/>
                <w:szCs w:val="22"/>
                <w:lang w:eastAsia="en-GB"/>
              </w:rPr>
            </w:pPr>
          </w:p>
        </w:tc>
      </w:tr>
    </w:tbl>
    <w:p w14:paraId="56274F18" w14:textId="77777777" w:rsidR="00D179CE" w:rsidRPr="001D52A0" w:rsidRDefault="00D179CE" w:rsidP="00CB655A">
      <w:pPr>
        <w:numPr>
          <w:ilvl w:val="0"/>
          <w:numId w:val="33"/>
        </w:numPr>
        <w:autoSpaceDE w:val="0"/>
        <w:autoSpaceDN w:val="0"/>
        <w:adjustRightInd w:val="0"/>
        <w:spacing w:before="240" w:after="120"/>
        <w:jc w:val="both"/>
        <w:rPr>
          <w:rFonts w:asciiTheme="minorHAnsi" w:hAnsiTheme="minorHAnsi" w:cs="Arial"/>
          <w:b/>
          <w:sz w:val="22"/>
          <w:szCs w:val="22"/>
        </w:rPr>
      </w:pPr>
      <w:r w:rsidRPr="001D52A0">
        <w:rPr>
          <w:rFonts w:asciiTheme="minorHAnsi" w:hAnsiTheme="minorHAnsi" w:cs="Arial"/>
          <w:b/>
          <w:sz w:val="22"/>
          <w:szCs w:val="22"/>
        </w:rPr>
        <w:t>Supplies &amp; Services</w:t>
      </w:r>
    </w:p>
    <w:p w14:paraId="0C5B6226" w14:textId="3E69DF48" w:rsidR="0019746E" w:rsidRPr="001D52A0" w:rsidRDefault="00D179CE" w:rsidP="004E4209">
      <w:pPr>
        <w:numPr>
          <w:ilvl w:val="1"/>
          <w:numId w:val="17"/>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The 20</w:t>
      </w:r>
      <w:r w:rsidR="00591077" w:rsidRPr="001D52A0">
        <w:rPr>
          <w:rFonts w:asciiTheme="minorHAnsi" w:hAnsiTheme="minorHAnsi" w:cs="Arial"/>
          <w:sz w:val="22"/>
          <w:szCs w:val="22"/>
        </w:rPr>
        <w:t>2</w:t>
      </w:r>
      <w:r w:rsidR="0019746E" w:rsidRPr="001D52A0">
        <w:rPr>
          <w:rFonts w:asciiTheme="minorHAnsi" w:hAnsiTheme="minorHAnsi" w:cs="Arial"/>
          <w:sz w:val="22"/>
          <w:szCs w:val="22"/>
        </w:rPr>
        <w:t>4</w:t>
      </w:r>
      <w:r w:rsidRPr="001D52A0">
        <w:rPr>
          <w:rFonts w:asciiTheme="minorHAnsi" w:hAnsiTheme="minorHAnsi" w:cs="Arial"/>
          <w:sz w:val="22"/>
          <w:szCs w:val="22"/>
        </w:rPr>
        <w:t>/</w:t>
      </w:r>
      <w:r w:rsidR="009C0554" w:rsidRPr="001D52A0">
        <w:rPr>
          <w:rFonts w:asciiTheme="minorHAnsi" w:hAnsiTheme="minorHAnsi" w:cs="Arial"/>
          <w:sz w:val="22"/>
          <w:szCs w:val="22"/>
        </w:rPr>
        <w:t>2</w:t>
      </w:r>
      <w:r w:rsidR="0019746E" w:rsidRPr="001D52A0">
        <w:rPr>
          <w:rFonts w:asciiTheme="minorHAnsi" w:hAnsiTheme="minorHAnsi" w:cs="Arial"/>
          <w:sz w:val="22"/>
          <w:szCs w:val="22"/>
        </w:rPr>
        <w:t>5</w:t>
      </w:r>
      <w:r w:rsidRPr="001D52A0">
        <w:rPr>
          <w:rFonts w:asciiTheme="minorHAnsi" w:hAnsiTheme="minorHAnsi" w:cs="Arial"/>
          <w:sz w:val="22"/>
          <w:szCs w:val="22"/>
        </w:rPr>
        <w:t xml:space="preserve"> </w:t>
      </w:r>
      <w:r w:rsidR="001A11D4" w:rsidRPr="001D52A0">
        <w:rPr>
          <w:rFonts w:asciiTheme="minorHAnsi" w:hAnsiTheme="minorHAnsi" w:cs="Arial"/>
          <w:sz w:val="22"/>
          <w:szCs w:val="22"/>
        </w:rPr>
        <w:t xml:space="preserve">overall </w:t>
      </w:r>
      <w:r w:rsidRPr="001D52A0">
        <w:rPr>
          <w:rFonts w:asciiTheme="minorHAnsi" w:hAnsiTheme="minorHAnsi" w:cs="Arial"/>
          <w:sz w:val="22"/>
          <w:szCs w:val="22"/>
        </w:rPr>
        <w:t>budget</w:t>
      </w:r>
      <w:r w:rsidR="00390A74" w:rsidRPr="001D52A0">
        <w:rPr>
          <w:rFonts w:asciiTheme="minorHAnsi" w:hAnsiTheme="minorHAnsi" w:cs="Arial"/>
          <w:sz w:val="22"/>
          <w:szCs w:val="22"/>
        </w:rPr>
        <w:t>s</w:t>
      </w:r>
      <w:r w:rsidRPr="001D52A0">
        <w:rPr>
          <w:rFonts w:asciiTheme="minorHAnsi" w:hAnsiTheme="minorHAnsi" w:cs="Arial"/>
          <w:sz w:val="22"/>
          <w:szCs w:val="22"/>
        </w:rPr>
        <w:t xml:space="preserve"> for Supplies &amp; Services is £</w:t>
      </w:r>
      <w:r w:rsidR="0019746E" w:rsidRPr="001D52A0">
        <w:rPr>
          <w:rFonts w:asciiTheme="minorHAnsi" w:hAnsiTheme="minorHAnsi" w:cs="Arial"/>
          <w:sz w:val="22"/>
          <w:szCs w:val="22"/>
        </w:rPr>
        <w:t>3</w:t>
      </w:r>
      <w:r w:rsidR="0037655E" w:rsidRPr="001D52A0">
        <w:rPr>
          <w:rFonts w:asciiTheme="minorHAnsi" w:hAnsiTheme="minorHAnsi" w:cs="Arial"/>
          <w:sz w:val="22"/>
          <w:szCs w:val="22"/>
        </w:rPr>
        <w:t>.</w:t>
      </w:r>
      <w:r w:rsidR="0019746E" w:rsidRPr="001D52A0">
        <w:rPr>
          <w:rFonts w:asciiTheme="minorHAnsi" w:hAnsiTheme="minorHAnsi" w:cs="Arial"/>
          <w:sz w:val="22"/>
          <w:szCs w:val="22"/>
        </w:rPr>
        <w:t>3</w:t>
      </w:r>
      <w:r w:rsidRPr="001D52A0">
        <w:rPr>
          <w:rFonts w:asciiTheme="minorHAnsi" w:hAnsiTheme="minorHAnsi" w:cs="Arial"/>
          <w:sz w:val="22"/>
          <w:szCs w:val="22"/>
        </w:rPr>
        <w:t xml:space="preserve"> million</w:t>
      </w:r>
      <w:r w:rsidR="009E35D7" w:rsidRPr="001D52A0">
        <w:rPr>
          <w:rFonts w:asciiTheme="minorHAnsi" w:hAnsiTheme="minorHAnsi" w:cs="Arial"/>
          <w:sz w:val="22"/>
          <w:szCs w:val="22"/>
        </w:rPr>
        <w:t xml:space="preserve"> </w:t>
      </w:r>
      <w:r w:rsidR="0019746E" w:rsidRPr="001D52A0">
        <w:rPr>
          <w:rFonts w:asciiTheme="minorHAnsi" w:hAnsiTheme="minorHAnsi" w:cs="Arial"/>
          <w:sz w:val="22"/>
          <w:szCs w:val="22"/>
        </w:rPr>
        <w:t>up by £1</w:t>
      </w:r>
      <w:r w:rsidR="00390A74" w:rsidRPr="001D52A0">
        <w:rPr>
          <w:rFonts w:asciiTheme="minorHAnsi" w:hAnsiTheme="minorHAnsi" w:cs="Arial"/>
          <w:sz w:val="22"/>
          <w:szCs w:val="22"/>
        </w:rPr>
        <w:t>.</w:t>
      </w:r>
      <w:r w:rsidR="0019746E" w:rsidRPr="001D52A0">
        <w:rPr>
          <w:rFonts w:asciiTheme="minorHAnsi" w:hAnsiTheme="minorHAnsi" w:cs="Arial"/>
          <w:sz w:val="22"/>
          <w:szCs w:val="22"/>
        </w:rPr>
        <w:t>5 million from 2023</w:t>
      </w:r>
      <w:r w:rsidR="00390A74" w:rsidRPr="001D52A0">
        <w:rPr>
          <w:rFonts w:asciiTheme="minorHAnsi" w:hAnsiTheme="minorHAnsi" w:cs="Arial"/>
          <w:sz w:val="22"/>
          <w:szCs w:val="22"/>
        </w:rPr>
        <w:t>/</w:t>
      </w:r>
      <w:r w:rsidR="0019746E" w:rsidRPr="001D52A0">
        <w:rPr>
          <w:rFonts w:asciiTheme="minorHAnsi" w:hAnsiTheme="minorHAnsi" w:cs="Arial"/>
          <w:sz w:val="22"/>
          <w:szCs w:val="22"/>
        </w:rPr>
        <w:t>24</w:t>
      </w:r>
      <w:r w:rsidR="001A11D4" w:rsidRPr="001D52A0">
        <w:rPr>
          <w:rFonts w:asciiTheme="minorHAnsi" w:hAnsiTheme="minorHAnsi" w:cs="Arial"/>
          <w:sz w:val="22"/>
          <w:szCs w:val="22"/>
        </w:rPr>
        <w:t xml:space="preserve">. </w:t>
      </w:r>
      <w:r w:rsidR="00B3446E" w:rsidRPr="001D52A0">
        <w:rPr>
          <w:rFonts w:asciiTheme="minorHAnsi" w:hAnsiTheme="minorHAnsi" w:cs="Arial"/>
          <w:sz w:val="22"/>
          <w:szCs w:val="22"/>
        </w:rPr>
        <w:t xml:space="preserve">There has been </w:t>
      </w:r>
      <w:r w:rsidR="001A11D4" w:rsidRPr="001D52A0">
        <w:rPr>
          <w:rFonts w:asciiTheme="minorHAnsi" w:hAnsiTheme="minorHAnsi" w:cs="Arial"/>
          <w:sz w:val="22"/>
          <w:szCs w:val="22"/>
        </w:rPr>
        <w:t>a focus on savings</w:t>
      </w:r>
      <w:r w:rsidR="00905405" w:rsidRPr="001D52A0">
        <w:rPr>
          <w:rFonts w:asciiTheme="minorHAnsi" w:hAnsiTheme="minorHAnsi" w:cs="Arial"/>
          <w:sz w:val="22"/>
          <w:szCs w:val="22"/>
        </w:rPr>
        <w:t>,</w:t>
      </w:r>
      <w:r w:rsidR="001A11D4" w:rsidRPr="001D52A0">
        <w:rPr>
          <w:rFonts w:asciiTheme="minorHAnsi" w:hAnsiTheme="minorHAnsi" w:cs="Arial"/>
          <w:sz w:val="22"/>
          <w:szCs w:val="22"/>
        </w:rPr>
        <w:t xml:space="preserve"> </w:t>
      </w:r>
      <w:r w:rsidR="00B3446E" w:rsidRPr="001D52A0">
        <w:rPr>
          <w:rFonts w:asciiTheme="minorHAnsi" w:hAnsiTheme="minorHAnsi" w:cs="Arial"/>
          <w:sz w:val="22"/>
          <w:szCs w:val="22"/>
        </w:rPr>
        <w:t xml:space="preserve">and </w:t>
      </w:r>
      <w:r w:rsidR="001A11D4" w:rsidRPr="001D52A0">
        <w:rPr>
          <w:rFonts w:asciiTheme="minorHAnsi" w:hAnsiTheme="minorHAnsi" w:cs="Arial"/>
          <w:sz w:val="22"/>
          <w:szCs w:val="22"/>
        </w:rPr>
        <w:t>managers have slightly reduced business as usual spending</w:t>
      </w:r>
      <w:r w:rsidR="00E70988" w:rsidRPr="001D52A0">
        <w:rPr>
          <w:rFonts w:asciiTheme="minorHAnsi" w:hAnsiTheme="minorHAnsi" w:cs="Arial"/>
          <w:sz w:val="22"/>
          <w:szCs w:val="22"/>
        </w:rPr>
        <w:t xml:space="preserve">. </w:t>
      </w:r>
    </w:p>
    <w:p w14:paraId="3D122BED" w14:textId="10F88B35" w:rsidR="00390A74" w:rsidRPr="001D52A0" w:rsidRDefault="00000394" w:rsidP="004E4209">
      <w:pPr>
        <w:numPr>
          <w:ilvl w:val="1"/>
          <w:numId w:val="17"/>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The</w:t>
      </w:r>
      <w:r w:rsidR="00E70988" w:rsidRPr="001D52A0">
        <w:rPr>
          <w:rFonts w:asciiTheme="minorHAnsi" w:hAnsiTheme="minorHAnsi" w:cs="Arial"/>
          <w:sz w:val="22"/>
          <w:szCs w:val="22"/>
        </w:rPr>
        <w:t xml:space="preserve"> growth relates to </w:t>
      </w:r>
      <w:r w:rsidR="0019746E" w:rsidRPr="001D52A0">
        <w:rPr>
          <w:rFonts w:asciiTheme="minorHAnsi" w:hAnsiTheme="minorHAnsi" w:cs="Arial"/>
          <w:sz w:val="22"/>
          <w:szCs w:val="22"/>
        </w:rPr>
        <w:t xml:space="preserve">the bi-annual SERC insurance which has </w:t>
      </w:r>
      <w:r w:rsidR="002B76C7" w:rsidRPr="001D52A0">
        <w:rPr>
          <w:rFonts w:asciiTheme="minorHAnsi" w:hAnsiTheme="minorHAnsi" w:cs="Arial"/>
          <w:sz w:val="22"/>
          <w:szCs w:val="22"/>
        </w:rPr>
        <w:t>increased by 518% since 2016.  To put this in context, the bi annual insurance in 2016-16 was £223k, and this had increased to £1.4m for 2020-22.  The insurance market in this indu</w:t>
      </w:r>
      <w:r w:rsidRPr="001D52A0">
        <w:rPr>
          <w:rFonts w:asciiTheme="minorHAnsi" w:hAnsiTheme="minorHAnsi" w:cs="Arial"/>
          <w:sz w:val="22"/>
          <w:szCs w:val="22"/>
        </w:rPr>
        <w:t xml:space="preserve">stry continues to be challenging due to market rates and insurers appetites deteriorating. With the additional impact of increased fires at transfer stations, it is likely that the insurance </w:t>
      </w:r>
      <w:r w:rsidR="00555A1F" w:rsidRPr="001D52A0">
        <w:rPr>
          <w:rFonts w:asciiTheme="minorHAnsi" w:hAnsiTheme="minorHAnsi" w:cs="Arial"/>
          <w:sz w:val="22"/>
          <w:szCs w:val="22"/>
        </w:rPr>
        <w:t xml:space="preserve">premiums </w:t>
      </w:r>
      <w:r w:rsidRPr="001D52A0">
        <w:rPr>
          <w:rFonts w:asciiTheme="minorHAnsi" w:hAnsiTheme="minorHAnsi" w:cs="Arial"/>
          <w:sz w:val="22"/>
          <w:szCs w:val="22"/>
        </w:rPr>
        <w:t>will be significantly higher and this has been budgeted for in 2024/25.</w:t>
      </w:r>
      <w:r w:rsidR="00905405" w:rsidRPr="001D52A0">
        <w:rPr>
          <w:rFonts w:asciiTheme="minorHAnsi" w:hAnsiTheme="minorHAnsi" w:cs="Arial"/>
          <w:sz w:val="22"/>
          <w:szCs w:val="22"/>
        </w:rPr>
        <w:t xml:space="preserve"> </w:t>
      </w:r>
    </w:p>
    <w:p w14:paraId="3120E34C" w14:textId="7930DFA9" w:rsidR="00905405" w:rsidRPr="001D52A0" w:rsidRDefault="00905405" w:rsidP="004E4209">
      <w:pPr>
        <w:numPr>
          <w:ilvl w:val="1"/>
          <w:numId w:val="17"/>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The key factors impacting on the insurance rates are fires, floods (on railway lines and roads due to storms and heavier than expected rain showers) and heat (due to the heatwaves we have been experiencing in recent years and the infrastructure not being fit for purpose).  With the probability of all three of these increasing, the insurance market in this industry is challenging.</w:t>
      </w:r>
    </w:p>
    <w:p w14:paraId="7D2C05A0" w14:textId="37EB3810" w:rsidR="00423469" w:rsidRPr="001D52A0" w:rsidRDefault="00390A74" w:rsidP="004E4209">
      <w:pPr>
        <w:numPr>
          <w:ilvl w:val="1"/>
          <w:numId w:val="17"/>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£0.</w:t>
      </w:r>
      <w:r w:rsidR="002211EA" w:rsidRPr="001D52A0">
        <w:rPr>
          <w:rFonts w:asciiTheme="minorHAnsi" w:hAnsiTheme="minorHAnsi" w:cs="Arial"/>
          <w:sz w:val="22"/>
          <w:szCs w:val="22"/>
        </w:rPr>
        <w:t>8</w:t>
      </w:r>
      <w:r w:rsidRPr="001D52A0">
        <w:rPr>
          <w:rFonts w:asciiTheme="minorHAnsi" w:hAnsiTheme="minorHAnsi" w:cs="Arial"/>
          <w:sz w:val="22"/>
          <w:szCs w:val="22"/>
        </w:rPr>
        <w:t xml:space="preserve"> million </w:t>
      </w:r>
      <w:r w:rsidR="00905405" w:rsidRPr="001D52A0">
        <w:rPr>
          <w:rFonts w:asciiTheme="minorHAnsi" w:hAnsiTheme="minorHAnsi" w:cs="Arial"/>
          <w:sz w:val="22"/>
          <w:szCs w:val="22"/>
        </w:rPr>
        <w:t xml:space="preserve">of this spend is </w:t>
      </w:r>
      <w:r w:rsidRPr="001D52A0">
        <w:rPr>
          <w:rFonts w:asciiTheme="minorHAnsi" w:hAnsiTheme="minorHAnsi" w:cs="Arial"/>
          <w:sz w:val="22"/>
          <w:szCs w:val="22"/>
        </w:rPr>
        <w:t xml:space="preserve">for </w:t>
      </w:r>
      <w:r w:rsidR="00E70988" w:rsidRPr="001D52A0">
        <w:rPr>
          <w:rFonts w:asciiTheme="minorHAnsi" w:hAnsiTheme="minorHAnsi" w:cs="Arial"/>
          <w:sz w:val="22"/>
          <w:szCs w:val="22"/>
        </w:rPr>
        <w:t xml:space="preserve">the </w:t>
      </w:r>
      <w:r w:rsidRPr="001D52A0">
        <w:rPr>
          <w:rFonts w:asciiTheme="minorHAnsi" w:hAnsiTheme="minorHAnsi" w:cs="Arial"/>
          <w:sz w:val="22"/>
          <w:szCs w:val="22"/>
        </w:rPr>
        <w:t>pro</w:t>
      </w:r>
      <w:r w:rsidR="00E70988" w:rsidRPr="001D52A0">
        <w:rPr>
          <w:rFonts w:asciiTheme="minorHAnsi" w:hAnsiTheme="minorHAnsi" w:cs="Arial"/>
          <w:sz w:val="22"/>
          <w:szCs w:val="22"/>
        </w:rPr>
        <w:t xml:space="preserve">gramme of work </w:t>
      </w:r>
      <w:r w:rsidR="00905405" w:rsidRPr="001D52A0">
        <w:rPr>
          <w:rFonts w:asciiTheme="minorHAnsi" w:hAnsiTheme="minorHAnsi" w:cs="Arial"/>
          <w:sz w:val="22"/>
          <w:szCs w:val="22"/>
        </w:rPr>
        <w:t xml:space="preserve">detailed </w:t>
      </w:r>
      <w:r w:rsidR="00E70988" w:rsidRPr="001D52A0">
        <w:rPr>
          <w:rFonts w:asciiTheme="minorHAnsi" w:hAnsiTheme="minorHAnsi" w:cs="Arial"/>
          <w:sz w:val="22"/>
          <w:szCs w:val="22"/>
        </w:rPr>
        <w:t>in section 3.</w:t>
      </w:r>
      <w:r w:rsidRPr="001D52A0">
        <w:rPr>
          <w:rFonts w:asciiTheme="minorHAnsi" w:hAnsiTheme="minorHAnsi" w:cs="Arial"/>
          <w:sz w:val="22"/>
          <w:szCs w:val="22"/>
        </w:rPr>
        <w:t xml:space="preserve"> </w:t>
      </w:r>
    </w:p>
    <w:p w14:paraId="6BC45C66" w14:textId="07F9B31E" w:rsidR="00A76B18" w:rsidRPr="001D52A0" w:rsidRDefault="00423469" w:rsidP="008A2624">
      <w:pPr>
        <w:numPr>
          <w:ilvl w:val="1"/>
          <w:numId w:val="17"/>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 xml:space="preserve"> Other notable items include spending for</w:t>
      </w:r>
      <w:r w:rsidR="00EC2ED0" w:rsidRPr="001D52A0">
        <w:rPr>
          <w:rFonts w:asciiTheme="minorHAnsi" w:hAnsiTheme="minorHAnsi" w:cs="Arial"/>
          <w:sz w:val="22"/>
          <w:szCs w:val="22"/>
        </w:rPr>
        <w:t xml:space="preserve"> professional services, </w:t>
      </w:r>
      <w:r w:rsidRPr="001D52A0">
        <w:rPr>
          <w:rFonts w:asciiTheme="minorHAnsi" w:hAnsiTheme="minorHAnsi" w:cs="Arial"/>
          <w:sz w:val="22"/>
          <w:szCs w:val="22"/>
        </w:rPr>
        <w:t xml:space="preserve">external audit, </w:t>
      </w:r>
      <w:r w:rsidR="00AD5F57" w:rsidRPr="001D52A0">
        <w:rPr>
          <w:rFonts w:asciiTheme="minorHAnsi" w:hAnsiTheme="minorHAnsi" w:cs="Arial"/>
          <w:sz w:val="22"/>
          <w:szCs w:val="22"/>
        </w:rPr>
        <w:t>insurances</w:t>
      </w:r>
      <w:r w:rsidR="00EB7EC8" w:rsidRPr="001D52A0">
        <w:rPr>
          <w:rFonts w:asciiTheme="minorHAnsi" w:hAnsiTheme="minorHAnsi" w:cs="Arial"/>
          <w:sz w:val="22"/>
          <w:szCs w:val="22"/>
        </w:rPr>
        <w:t xml:space="preserve"> </w:t>
      </w:r>
      <w:r w:rsidR="00C256F8" w:rsidRPr="001D52A0">
        <w:rPr>
          <w:rFonts w:asciiTheme="minorHAnsi" w:hAnsiTheme="minorHAnsi" w:cs="Arial"/>
          <w:sz w:val="22"/>
          <w:szCs w:val="22"/>
        </w:rPr>
        <w:t xml:space="preserve">and </w:t>
      </w:r>
      <w:r w:rsidR="009C0554" w:rsidRPr="001D52A0">
        <w:rPr>
          <w:rFonts w:asciiTheme="minorHAnsi" w:hAnsiTheme="minorHAnsi" w:cs="Arial"/>
          <w:sz w:val="22"/>
          <w:szCs w:val="22"/>
        </w:rPr>
        <w:t>borough services (</w:t>
      </w:r>
      <w:r w:rsidR="009E35D7" w:rsidRPr="001D52A0">
        <w:rPr>
          <w:rFonts w:asciiTheme="minorHAnsi" w:hAnsiTheme="minorHAnsi" w:cs="Arial"/>
          <w:sz w:val="22"/>
          <w:szCs w:val="22"/>
        </w:rPr>
        <w:t>e.g. committee services</w:t>
      </w:r>
      <w:r w:rsidR="00A76B18" w:rsidRPr="001D52A0">
        <w:rPr>
          <w:rFonts w:asciiTheme="minorHAnsi" w:hAnsiTheme="minorHAnsi" w:cs="Arial"/>
          <w:sz w:val="22"/>
          <w:szCs w:val="22"/>
        </w:rPr>
        <w:t>, treasury etc</w:t>
      </w:r>
      <w:r w:rsidR="009C0554" w:rsidRPr="001D52A0">
        <w:rPr>
          <w:rFonts w:asciiTheme="minorHAnsi" w:hAnsiTheme="minorHAnsi" w:cs="Arial"/>
          <w:sz w:val="22"/>
          <w:szCs w:val="22"/>
        </w:rPr>
        <w:t>)</w:t>
      </w:r>
      <w:r w:rsidRPr="001D52A0">
        <w:rPr>
          <w:rFonts w:asciiTheme="minorHAnsi" w:hAnsiTheme="minorHAnsi" w:cs="Arial"/>
          <w:sz w:val="22"/>
          <w:szCs w:val="22"/>
        </w:rPr>
        <w:t>.</w:t>
      </w:r>
    </w:p>
    <w:p w14:paraId="5E0EC38C" w14:textId="77777777" w:rsidR="0026012C" w:rsidRPr="001D52A0" w:rsidRDefault="0026012C" w:rsidP="00CB655A">
      <w:pPr>
        <w:numPr>
          <w:ilvl w:val="0"/>
          <w:numId w:val="33"/>
        </w:numPr>
        <w:autoSpaceDE w:val="0"/>
        <w:autoSpaceDN w:val="0"/>
        <w:adjustRightInd w:val="0"/>
        <w:spacing w:before="240" w:after="120"/>
        <w:jc w:val="both"/>
        <w:rPr>
          <w:rFonts w:asciiTheme="minorHAnsi" w:hAnsiTheme="minorHAnsi" w:cs="Arial"/>
          <w:b/>
          <w:sz w:val="22"/>
          <w:szCs w:val="22"/>
        </w:rPr>
      </w:pPr>
      <w:r w:rsidRPr="001D52A0">
        <w:rPr>
          <w:rFonts w:asciiTheme="minorHAnsi" w:hAnsiTheme="minorHAnsi" w:cs="Arial"/>
          <w:b/>
          <w:sz w:val="22"/>
          <w:szCs w:val="22"/>
        </w:rPr>
        <w:t>Revenue Funding of Debt</w:t>
      </w:r>
    </w:p>
    <w:p w14:paraId="7770C95E" w14:textId="77777777" w:rsidR="00817B58" w:rsidRPr="001D52A0" w:rsidRDefault="00817B58" w:rsidP="004E4209">
      <w:pPr>
        <w:numPr>
          <w:ilvl w:val="1"/>
          <w:numId w:val="18"/>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lastRenderedPageBreak/>
        <w:t>The</w:t>
      </w:r>
      <w:r w:rsidR="0026012C" w:rsidRPr="001D52A0">
        <w:rPr>
          <w:rFonts w:asciiTheme="minorHAnsi" w:hAnsiTheme="minorHAnsi" w:cs="Arial"/>
          <w:sz w:val="22"/>
          <w:szCs w:val="22"/>
        </w:rPr>
        <w:t xml:space="preserve"> loan </w:t>
      </w:r>
      <w:r w:rsidR="00EB7EC8" w:rsidRPr="001D52A0">
        <w:rPr>
          <w:rFonts w:asciiTheme="minorHAnsi" w:hAnsiTheme="minorHAnsi" w:cs="Arial"/>
          <w:sz w:val="22"/>
          <w:szCs w:val="22"/>
        </w:rPr>
        <w:t xml:space="preserve">which </w:t>
      </w:r>
      <w:r w:rsidR="0026012C" w:rsidRPr="001D52A0">
        <w:rPr>
          <w:rFonts w:asciiTheme="minorHAnsi" w:hAnsiTheme="minorHAnsi" w:cs="Arial"/>
          <w:sz w:val="22"/>
          <w:szCs w:val="22"/>
        </w:rPr>
        <w:t>financ</w:t>
      </w:r>
      <w:r w:rsidR="009E35D7" w:rsidRPr="001D52A0">
        <w:rPr>
          <w:rFonts w:asciiTheme="minorHAnsi" w:hAnsiTheme="minorHAnsi" w:cs="Arial"/>
          <w:sz w:val="22"/>
          <w:szCs w:val="22"/>
        </w:rPr>
        <w:t>e</w:t>
      </w:r>
      <w:r w:rsidR="00EB7EC8" w:rsidRPr="001D52A0">
        <w:rPr>
          <w:rFonts w:asciiTheme="minorHAnsi" w:hAnsiTheme="minorHAnsi" w:cs="Arial"/>
          <w:sz w:val="22"/>
          <w:szCs w:val="22"/>
        </w:rPr>
        <w:t>d</w:t>
      </w:r>
      <w:r w:rsidR="0026012C" w:rsidRPr="001D52A0">
        <w:rPr>
          <w:rFonts w:asciiTheme="minorHAnsi" w:hAnsiTheme="minorHAnsi" w:cs="Arial"/>
          <w:sz w:val="22"/>
          <w:szCs w:val="22"/>
        </w:rPr>
        <w:t xml:space="preserve"> the p</w:t>
      </w:r>
      <w:r w:rsidR="00313F06" w:rsidRPr="001D52A0">
        <w:rPr>
          <w:rFonts w:asciiTheme="minorHAnsi" w:hAnsiTheme="minorHAnsi" w:cs="Arial"/>
          <w:sz w:val="22"/>
          <w:szCs w:val="22"/>
        </w:rPr>
        <w:t>urchase of the transfer station sit</w:t>
      </w:r>
      <w:r w:rsidRPr="001D52A0">
        <w:rPr>
          <w:rFonts w:asciiTheme="minorHAnsi" w:hAnsiTheme="minorHAnsi" w:cs="Arial"/>
          <w:sz w:val="22"/>
          <w:szCs w:val="22"/>
        </w:rPr>
        <w:t>es is a</w:t>
      </w:r>
      <w:r w:rsidR="009E35D7" w:rsidRPr="001D52A0">
        <w:rPr>
          <w:rFonts w:asciiTheme="minorHAnsi" w:hAnsiTheme="minorHAnsi" w:cs="Arial"/>
          <w:sz w:val="22"/>
          <w:szCs w:val="22"/>
        </w:rPr>
        <w:t xml:space="preserve"> typical repayment loan. It </w:t>
      </w:r>
      <w:r w:rsidR="0026012C" w:rsidRPr="001D52A0">
        <w:rPr>
          <w:rFonts w:asciiTheme="minorHAnsi" w:hAnsiTheme="minorHAnsi" w:cs="Arial"/>
          <w:sz w:val="22"/>
          <w:szCs w:val="22"/>
        </w:rPr>
        <w:t>is made up of two components</w:t>
      </w:r>
      <w:r w:rsidR="00313F06" w:rsidRPr="001D52A0">
        <w:rPr>
          <w:rFonts w:asciiTheme="minorHAnsi" w:hAnsiTheme="minorHAnsi" w:cs="Arial"/>
          <w:sz w:val="22"/>
          <w:szCs w:val="22"/>
        </w:rPr>
        <w:t xml:space="preserve"> – an element for t</w:t>
      </w:r>
      <w:r w:rsidR="0026012C" w:rsidRPr="001D52A0">
        <w:rPr>
          <w:rFonts w:asciiTheme="minorHAnsi" w:hAnsiTheme="minorHAnsi" w:cs="Arial"/>
          <w:sz w:val="22"/>
          <w:szCs w:val="22"/>
        </w:rPr>
        <w:t xml:space="preserve">he interest </w:t>
      </w:r>
      <w:r w:rsidR="00313F06" w:rsidRPr="001D52A0">
        <w:rPr>
          <w:rFonts w:asciiTheme="minorHAnsi" w:hAnsiTheme="minorHAnsi" w:cs="Arial"/>
          <w:sz w:val="22"/>
          <w:szCs w:val="22"/>
        </w:rPr>
        <w:t xml:space="preserve">on the loan (see </w:t>
      </w:r>
      <w:r w:rsidR="00D179CE" w:rsidRPr="001D52A0">
        <w:rPr>
          <w:rFonts w:asciiTheme="minorHAnsi" w:hAnsiTheme="minorHAnsi" w:cs="Arial"/>
          <w:sz w:val="22"/>
          <w:szCs w:val="22"/>
        </w:rPr>
        <w:t>Financing Costs)</w:t>
      </w:r>
      <w:r w:rsidR="00313F06" w:rsidRPr="001D52A0">
        <w:rPr>
          <w:rFonts w:asciiTheme="minorHAnsi" w:hAnsiTheme="minorHAnsi" w:cs="Arial"/>
          <w:sz w:val="22"/>
          <w:szCs w:val="22"/>
        </w:rPr>
        <w:t xml:space="preserve"> and an element repay</w:t>
      </w:r>
      <w:r w:rsidR="00F734F7" w:rsidRPr="001D52A0">
        <w:rPr>
          <w:rFonts w:asciiTheme="minorHAnsi" w:hAnsiTheme="minorHAnsi" w:cs="Arial"/>
          <w:sz w:val="22"/>
          <w:szCs w:val="22"/>
        </w:rPr>
        <w:t>ing</w:t>
      </w:r>
      <w:r w:rsidR="00313F06" w:rsidRPr="001D52A0">
        <w:rPr>
          <w:rFonts w:asciiTheme="minorHAnsi" w:hAnsiTheme="minorHAnsi" w:cs="Arial"/>
          <w:sz w:val="22"/>
          <w:szCs w:val="22"/>
        </w:rPr>
        <w:t xml:space="preserve"> the loan</w:t>
      </w:r>
      <w:r w:rsidR="00F734F7" w:rsidRPr="001D52A0">
        <w:rPr>
          <w:rFonts w:asciiTheme="minorHAnsi" w:hAnsiTheme="minorHAnsi" w:cs="Arial"/>
          <w:sz w:val="22"/>
          <w:szCs w:val="22"/>
        </w:rPr>
        <w:t xml:space="preserve"> princip</w:t>
      </w:r>
      <w:r w:rsidR="00B84589" w:rsidRPr="001D52A0">
        <w:rPr>
          <w:rFonts w:asciiTheme="minorHAnsi" w:hAnsiTheme="minorHAnsi" w:cs="Arial"/>
          <w:sz w:val="22"/>
          <w:szCs w:val="22"/>
        </w:rPr>
        <w:t>a</w:t>
      </w:r>
      <w:r w:rsidR="00F734F7" w:rsidRPr="001D52A0">
        <w:rPr>
          <w:rFonts w:asciiTheme="minorHAnsi" w:hAnsiTheme="minorHAnsi" w:cs="Arial"/>
          <w:sz w:val="22"/>
          <w:szCs w:val="22"/>
        </w:rPr>
        <w:t>l</w:t>
      </w:r>
      <w:r w:rsidR="00313F06" w:rsidRPr="001D52A0">
        <w:rPr>
          <w:rFonts w:asciiTheme="minorHAnsi" w:hAnsiTheme="minorHAnsi" w:cs="Arial"/>
          <w:sz w:val="22"/>
          <w:szCs w:val="22"/>
        </w:rPr>
        <w:t>.</w:t>
      </w:r>
      <w:r w:rsidRPr="001D52A0">
        <w:rPr>
          <w:rFonts w:asciiTheme="minorHAnsi" w:hAnsiTheme="minorHAnsi" w:cs="Arial"/>
          <w:sz w:val="22"/>
          <w:szCs w:val="22"/>
        </w:rPr>
        <w:t xml:space="preserve"> </w:t>
      </w:r>
    </w:p>
    <w:p w14:paraId="3CEA107D" w14:textId="20484122" w:rsidR="00F734F7" w:rsidRPr="001D52A0" w:rsidRDefault="00817B58" w:rsidP="004E4209">
      <w:pPr>
        <w:numPr>
          <w:ilvl w:val="1"/>
          <w:numId w:val="18"/>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T</w:t>
      </w:r>
      <w:r w:rsidR="00313F06" w:rsidRPr="001D52A0">
        <w:rPr>
          <w:rFonts w:asciiTheme="minorHAnsi" w:hAnsiTheme="minorHAnsi" w:cs="Arial"/>
          <w:sz w:val="22"/>
          <w:szCs w:val="22"/>
        </w:rPr>
        <w:t>he Revenue Funding of Debt is the element repay</w:t>
      </w:r>
      <w:r w:rsidR="00F734F7" w:rsidRPr="001D52A0">
        <w:rPr>
          <w:rFonts w:asciiTheme="minorHAnsi" w:hAnsiTheme="minorHAnsi" w:cs="Arial"/>
          <w:sz w:val="22"/>
          <w:szCs w:val="22"/>
        </w:rPr>
        <w:t>ing</w:t>
      </w:r>
      <w:r w:rsidR="00313F06" w:rsidRPr="001D52A0">
        <w:rPr>
          <w:rFonts w:asciiTheme="minorHAnsi" w:hAnsiTheme="minorHAnsi" w:cs="Arial"/>
          <w:sz w:val="22"/>
          <w:szCs w:val="22"/>
        </w:rPr>
        <w:t xml:space="preserve"> the </w:t>
      </w:r>
      <w:r w:rsidR="00F76350" w:rsidRPr="001D52A0">
        <w:rPr>
          <w:rFonts w:asciiTheme="minorHAnsi" w:hAnsiTheme="minorHAnsi" w:cs="Arial"/>
          <w:sz w:val="22"/>
          <w:szCs w:val="22"/>
        </w:rPr>
        <w:t xml:space="preserve">sites </w:t>
      </w:r>
      <w:r w:rsidR="00313F06" w:rsidRPr="001D52A0">
        <w:rPr>
          <w:rFonts w:asciiTheme="minorHAnsi" w:hAnsiTheme="minorHAnsi" w:cs="Arial"/>
          <w:sz w:val="22"/>
          <w:szCs w:val="22"/>
        </w:rPr>
        <w:t xml:space="preserve">loan and totals </w:t>
      </w:r>
      <w:r w:rsidR="002211EA" w:rsidRPr="001D52A0">
        <w:rPr>
          <w:rFonts w:asciiTheme="minorHAnsi" w:hAnsiTheme="minorHAnsi" w:cs="Arial"/>
          <w:sz w:val="22"/>
          <w:szCs w:val="22"/>
        </w:rPr>
        <w:t xml:space="preserve">just over </w:t>
      </w:r>
      <w:r w:rsidR="00313F06" w:rsidRPr="001D52A0">
        <w:rPr>
          <w:rFonts w:asciiTheme="minorHAnsi" w:hAnsiTheme="minorHAnsi" w:cs="Arial"/>
          <w:sz w:val="22"/>
          <w:szCs w:val="22"/>
        </w:rPr>
        <w:t>£</w:t>
      </w:r>
      <w:r w:rsidR="00AD5F57" w:rsidRPr="001D52A0">
        <w:rPr>
          <w:rFonts w:asciiTheme="minorHAnsi" w:hAnsiTheme="minorHAnsi" w:cs="Arial"/>
          <w:sz w:val="22"/>
          <w:szCs w:val="22"/>
        </w:rPr>
        <w:t>1.0</w:t>
      </w:r>
      <w:r w:rsidR="00F734F7" w:rsidRPr="001D52A0">
        <w:rPr>
          <w:rFonts w:asciiTheme="minorHAnsi" w:hAnsiTheme="minorHAnsi" w:cs="Arial"/>
          <w:sz w:val="22"/>
          <w:szCs w:val="22"/>
        </w:rPr>
        <w:t xml:space="preserve"> </w:t>
      </w:r>
      <w:r w:rsidR="00313F06" w:rsidRPr="001D52A0">
        <w:rPr>
          <w:rFonts w:asciiTheme="minorHAnsi" w:hAnsiTheme="minorHAnsi" w:cs="Arial"/>
          <w:sz w:val="22"/>
          <w:szCs w:val="22"/>
        </w:rPr>
        <w:t>million</w:t>
      </w:r>
      <w:r w:rsidR="009E35D7" w:rsidRPr="001D52A0">
        <w:rPr>
          <w:rFonts w:asciiTheme="minorHAnsi" w:hAnsiTheme="minorHAnsi" w:cs="Arial"/>
          <w:sz w:val="22"/>
          <w:szCs w:val="22"/>
        </w:rPr>
        <w:t xml:space="preserve"> for 20</w:t>
      </w:r>
      <w:r w:rsidR="00F734F7" w:rsidRPr="001D52A0">
        <w:rPr>
          <w:rFonts w:asciiTheme="minorHAnsi" w:hAnsiTheme="minorHAnsi" w:cs="Arial"/>
          <w:sz w:val="22"/>
          <w:szCs w:val="22"/>
        </w:rPr>
        <w:t>2</w:t>
      </w:r>
      <w:r w:rsidR="002211EA" w:rsidRPr="001D52A0">
        <w:rPr>
          <w:rFonts w:asciiTheme="minorHAnsi" w:hAnsiTheme="minorHAnsi" w:cs="Arial"/>
          <w:sz w:val="22"/>
          <w:szCs w:val="22"/>
        </w:rPr>
        <w:t>4/25</w:t>
      </w:r>
      <w:r w:rsidR="00313F06" w:rsidRPr="001D52A0">
        <w:rPr>
          <w:rFonts w:asciiTheme="minorHAnsi" w:hAnsiTheme="minorHAnsi" w:cs="Arial"/>
          <w:sz w:val="22"/>
          <w:szCs w:val="22"/>
        </w:rPr>
        <w:t>.</w:t>
      </w:r>
      <w:r w:rsidR="009E35D7" w:rsidRPr="001D52A0">
        <w:rPr>
          <w:rFonts w:asciiTheme="minorHAnsi" w:hAnsiTheme="minorHAnsi" w:cs="Arial"/>
          <w:sz w:val="22"/>
          <w:szCs w:val="22"/>
        </w:rPr>
        <w:t xml:space="preserve"> This is </w:t>
      </w:r>
      <w:r w:rsidR="00C256F8" w:rsidRPr="001D52A0">
        <w:rPr>
          <w:rFonts w:asciiTheme="minorHAnsi" w:hAnsiTheme="minorHAnsi" w:cs="Arial"/>
          <w:sz w:val="22"/>
          <w:szCs w:val="22"/>
        </w:rPr>
        <w:t>margi</w:t>
      </w:r>
      <w:r w:rsidR="002211EA" w:rsidRPr="001D52A0">
        <w:rPr>
          <w:rFonts w:asciiTheme="minorHAnsi" w:hAnsiTheme="minorHAnsi" w:cs="Arial"/>
          <w:sz w:val="22"/>
          <w:szCs w:val="22"/>
        </w:rPr>
        <w:t>nally higher (£22</w:t>
      </w:r>
      <w:r w:rsidR="000029C8" w:rsidRPr="001D52A0">
        <w:rPr>
          <w:rFonts w:asciiTheme="minorHAnsi" w:hAnsiTheme="minorHAnsi" w:cs="Arial"/>
          <w:sz w:val="22"/>
          <w:szCs w:val="22"/>
        </w:rPr>
        <w:t>,000) than 202</w:t>
      </w:r>
      <w:r w:rsidR="002211EA" w:rsidRPr="001D52A0">
        <w:rPr>
          <w:rFonts w:asciiTheme="minorHAnsi" w:hAnsiTheme="minorHAnsi" w:cs="Arial"/>
          <w:sz w:val="22"/>
          <w:szCs w:val="22"/>
        </w:rPr>
        <w:t>3</w:t>
      </w:r>
      <w:r w:rsidR="009E35D7" w:rsidRPr="001D52A0">
        <w:rPr>
          <w:rFonts w:asciiTheme="minorHAnsi" w:hAnsiTheme="minorHAnsi" w:cs="Arial"/>
          <w:sz w:val="22"/>
          <w:szCs w:val="22"/>
        </w:rPr>
        <w:t>/</w:t>
      </w:r>
      <w:r w:rsidR="00F734F7" w:rsidRPr="001D52A0">
        <w:rPr>
          <w:rFonts w:asciiTheme="minorHAnsi" w:hAnsiTheme="minorHAnsi" w:cs="Arial"/>
          <w:sz w:val="22"/>
          <w:szCs w:val="22"/>
        </w:rPr>
        <w:t>2</w:t>
      </w:r>
      <w:r w:rsidR="002211EA" w:rsidRPr="001D52A0">
        <w:rPr>
          <w:rFonts w:asciiTheme="minorHAnsi" w:hAnsiTheme="minorHAnsi" w:cs="Arial"/>
          <w:sz w:val="22"/>
          <w:szCs w:val="22"/>
        </w:rPr>
        <w:t>4</w:t>
      </w:r>
      <w:r w:rsidR="009E35D7" w:rsidRPr="001D52A0">
        <w:rPr>
          <w:rFonts w:asciiTheme="minorHAnsi" w:hAnsiTheme="minorHAnsi" w:cs="Arial"/>
          <w:sz w:val="22"/>
          <w:szCs w:val="22"/>
        </w:rPr>
        <w:t xml:space="preserve"> </w:t>
      </w:r>
      <w:r w:rsidR="00C526EE" w:rsidRPr="001D52A0">
        <w:rPr>
          <w:rFonts w:asciiTheme="minorHAnsi" w:hAnsiTheme="minorHAnsi" w:cs="Arial"/>
          <w:sz w:val="22"/>
          <w:szCs w:val="22"/>
        </w:rPr>
        <w:t>reflecting th</w:t>
      </w:r>
      <w:r w:rsidR="00F734F7" w:rsidRPr="001D52A0">
        <w:rPr>
          <w:rFonts w:asciiTheme="minorHAnsi" w:hAnsiTheme="minorHAnsi" w:cs="Arial"/>
          <w:sz w:val="22"/>
          <w:szCs w:val="22"/>
        </w:rPr>
        <w:t>at within a typical repayment loan, the amount of princip</w:t>
      </w:r>
      <w:r w:rsidR="00B84589" w:rsidRPr="001D52A0">
        <w:rPr>
          <w:rFonts w:asciiTheme="minorHAnsi" w:hAnsiTheme="minorHAnsi" w:cs="Arial"/>
          <w:sz w:val="22"/>
          <w:szCs w:val="22"/>
        </w:rPr>
        <w:t>a</w:t>
      </w:r>
      <w:r w:rsidR="00F734F7" w:rsidRPr="001D52A0">
        <w:rPr>
          <w:rFonts w:asciiTheme="minorHAnsi" w:hAnsiTheme="minorHAnsi" w:cs="Arial"/>
          <w:sz w:val="22"/>
          <w:szCs w:val="22"/>
        </w:rPr>
        <w:t>l repaid increases over time and amount of interest falls.</w:t>
      </w:r>
    </w:p>
    <w:p w14:paraId="7A875044" w14:textId="6E8AAEF8" w:rsidR="004476A2" w:rsidRPr="001D52A0" w:rsidRDefault="004476A2" w:rsidP="004E4209">
      <w:pPr>
        <w:numPr>
          <w:ilvl w:val="1"/>
          <w:numId w:val="18"/>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lang w:eastAsia="en-GB"/>
        </w:rPr>
        <w:t>It is worth providing the following brief recap of the revenue funding of debt</w:t>
      </w:r>
      <w:r w:rsidR="00F76350" w:rsidRPr="001D52A0">
        <w:rPr>
          <w:rFonts w:asciiTheme="minorHAnsi" w:hAnsiTheme="minorHAnsi" w:cs="Arial"/>
          <w:sz w:val="22"/>
          <w:szCs w:val="22"/>
          <w:lang w:eastAsia="en-GB"/>
        </w:rPr>
        <w:t xml:space="preserve"> which was detailed in Authority papers recommending the site purchase </w:t>
      </w:r>
      <w:r w:rsidR="00EB7EC8" w:rsidRPr="001D52A0">
        <w:rPr>
          <w:rFonts w:asciiTheme="minorHAnsi" w:hAnsiTheme="minorHAnsi" w:cs="Arial"/>
          <w:sz w:val="22"/>
          <w:szCs w:val="22"/>
          <w:lang w:eastAsia="en-GB"/>
        </w:rPr>
        <w:t>a number of years ago</w:t>
      </w:r>
      <w:r w:rsidR="00931636" w:rsidRPr="001D52A0">
        <w:rPr>
          <w:rFonts w:asciiTheme="minorHAnsi" w:hAnsiTheme="minorHAnsi" w:cs="Arial"/>
          <w:sz w:val="22"/>
          <w:szCs w:val="22"/>
          <w:lang w:eastAsia="en-GB"/>
        </w:rPr>
        <w:t>:</w:t>
      </w:r>
    </w:p>
    <w:p w14:paraId="341F3E22" w14:textId="77777777" w:rsidR="002F4D60" w:rsidRPr="001D52A0" w:rsidRDefault="002F4D60" w:rsidP="004E4209">
      <w:pPr>
        <w:numPr>
          <w:ilvl w:val="1"/>
          <w:numId w:val="18"/>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lang w:eastAsia="en-GB"/>
        </w:rPr>
        <w:t>I</w:t>
      </w:r>
      <w:r w:rsidR="004476A2" w:rsidRPr="001D52A0">
        <w:rPr>
          <w:rFonts w:asciiTheme="minorHAnsi" w:hAnsiTheme="minorHAnsi" w:cs="Arial"/>
          <w:sz w:val="22"/>
          <w:szCs w:val="22"/>
          <w:lang w:eastAsia="en-GB"/>
        </w:rPr>
        <w:t xml:space="preserve">t is a requirement for </w:t>
      </w:r>
      <w:r w:rsidRPr="001D52A0">
        <w:rPr>
          <w:rFonts w:asciiTheme="minorHAnsi" w:hAnsiTheme="minorHAnsi" w:cs="Arial"/>
          <w:sz w:val="22"/>
          <w:szCs w:val="22"/>
          <w:lang w:eastAsia="en-GB"/>
        </w:rPr>
        <w:t xml:space="preserve">public bodies to ultimately fund </w:t>
      </w:r>
      <w:r w:rsidR="004476A2" w:rsidRPr="001D52A0">
        <w:rPr>
          <w:rFonts w:asciiTheme="minorHAnsi" w:hAnsiTheme="minorHAnsi" w:cs="Arial"/>
          <w:sz w:val="22"/>
          <w:szCs w:val="22"/>
          <w:lang w:eastAsia="en-GB"/>
        </w:rPr>
        <w:t>the cost of</w:t>
      </w:r>
      <w:r w:rsidRPr="001D52A0">
        <w:rPr>
          <w:rFonts w:asciiTheme="minorHAnsi" w:hAnsiTheme="minorHAnsi" w:cs="Arial"/>
          <w:sz w:val="22"/>
          <w:szCs w:val="22"/>
          <w:lang w:eastAsia="en-GB"/>
        </w:rPr>
        <w:t xml:space="preserve"> assets </w:t>
      </w:r>
      <w:r w:rsidR="004476A2" w:rsidRPr="001D52A0">
        <w:rPr>
          <w:rFonts w:asciiTheme="minorHAnsi" w:hAnsiTheme="minorHAnsi" w:cs="Arial"/>
          <w:sz w:val="22"/>
          <w:szCs w:val="22"/>
          <w:lang w:eastAsia="en-GB"/>
        </w:rPr>
        <w:t xml:space="preserve">through levies and taxes. </w:t>
      </w:r>
      <w:r w:rsidRPr="001D52A0">
        <w:rPr>
          <w:rFonts w:asciiTheme="minorHAnsi" w:hAnsiTheme="minorHAnsi" w:cs="Arial"/>
          <w:sz w:val="22"/>
          <w:szCs w:val="22"/>
          <w:lang w:eastAsia="en-GB"/>
        </w:rPr>
        <w:t xml:space="preserve">For the Authority this is achieved through a combination of the depreciation charge and revenue funding of debt. </w:t>
      </w:r>
    </w:p>
    <w:p w14:paraId="2D9F7AE4" w14:textId="77777777" w:rsidR="00044E5F" w:rsidRPr="001D52A0" w:rsidRDefault="004476A2" w:rsidP="004E4209">
      <w:pPr>
        <w:numPr>
          <w:ilvl w:val="1"/>
          <w:numId w:val="18"/>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lang w:eastAsia="en-GB"/>
        </w:rPr>
        <w:t xml:space="preserve">Typically </w:t>
      </w:r>
      <w:r w:rsidR="002F4D60" w:rsidRPr="001D52A0">
        <w:rPr>
          <w:rFonts w:asciiTheme="minorHAnsi" w:hAnsiTheme="minorHAnsi" w:cs="Arial"/>
          <w:sz w:val="22"/>
          <w:szCs w:val="22"/>
          <w:lang w:eastAsia="en-GB"/>
        </w:rPr>
        <w:t xml:space="preserve">the </w:t>
      </w:r>
      <w:r w:rsidRPr="001D52A0">
        <w:rPr>
          <w:rFonts w:asciiTheme="minorHAnsi" w:hAnsiTheme="minorHAnsi" w:cs="Arial"/>
          <w:sz w:val="22"/>
          <w:szCs w:val="22"/>
          <w:lang w:eastAsia="en-GB"/>
        </w:rPr>
        <w:t xml:space="preserve">acquisition of </w:t>
      </w:r>
      <w:r w:rsidR="00F734F7" w:rsidRPr="001D52A0">
        <w:rPr>
          <w:rFonts w:asciiTheme="minorHAnsi" w:hAnsiTheme="minorHAnsi" w:cs="Arial"/>
          <w:sz w:val="22"/>
          <w:szCs w:val="22"/>
          <w:lang w:eastAsia="en-GB"/>
        </w:rPr>
        <w:t>assets result in an annual depreciation charge</w:t>
      </w:r>
      <w:r w:rsidRPr="001D52A0">
        <w:rPr>
          <w:rFonts w:asciiTheme="minorHAnsi" w:hAnsiTheme="minorHAnsi" w:cs="Arial"/>
          <w:sz w:val="22"/>
          <w:szCs w:val="22"/>
          <w:lang w:eastAsia="en-GB"/>
        </w:rPr>
        <w:t>.</w:t>
      </w:r>
      <w:r w:rsidR="00F734F7" w:rsidRPr="001D52A0">
        <w:rPr>
          <w:rFonts w:asciiTheme="minorHAnsi" w:hAnsiTheme="minorHAnsi" w:cs="Arial"/>
          <w:sz w:val="22"/>
          <w:szCs w:val="22"/>
          <w:lang w:eastAsia="en-GB"/>
        </w:rPr>
        <w:t xml:space="preserve"> This annual expenditure </w:t>
      </w:r>
      <w:r w:rsidR="002F4D60" w:rsidRPr="001D52A0">
        <w:rPr>
          <w:rFonts w:asciiTheme="minorHAnsi" w:hAnsiTheme="minorHAnsi" w:cs="Arial"/>
          <w:sz w:val="22"/>
          <w:szCs w:val="22"/>
          <w:lang w:eastAsia="en-GB"/>
        </w:rPr>
        <w:t xml:space="preserve">is </w:t>
      </w:r>
      <w:r w:rsidR="00F734F7" w:rsidRPr="001D52A0">
        <w:rPr>
          <w:rFonts w:asciiTheme="minorHAnsi" w:hAnsiTheme="minorHAnsi" w:cs="Arial"/>
          <w:sz w:val="22"/>
          <w:szCs w:val="22"/>
          <w:lang w:eastAsia="en-GB"/>
        </w:rPr>
        <w:t>recover</w:t>
      </w:r>
      <w:r w:rsidR="002F4D60" w:rsidRPr="001D52A0">
        <w:rPr>
          <w:rFonts w:asciiTheme="minorHAnsi" w:hAnsiTheme="minorHAnsi" w:cs="Arial"/>
          <w:sz w:val="22"/>
          <w:szCs w:val="22"/>
          <w:lang w:eastAsia="en-GB"/>
        </w:rPr>
        <w:t xml:space="preserve">ed </w:t>
      </w:r>
      <w:r w:rsidR="00F734F7" w:rsidRPr="001D52A0">
        <w:rPr>
          <w:rFonts w:asciiTheme="minorHAnsi" w:hAnsiTheme="minorHAnsi" w:cs="Arial"/>
          <w:sz w:val="22"/>
          <w:szCs w:val="22"/>
          <w:lang w:eastAsia="en-GB"/>
        </w:rPr>
        <w:t>through the levy mechanism</w:t>
      </w:r>
      <w:r w:rsidR="002F4D60" w:rsidRPr="001D52A0">
        <w:rPr>
          <w:rFonts w:asciiTheme="minorHAnsi" w:hAnsiTheme="minorHAnsi" w:cs="Arial"/>
          <w:sz w:val="22"/>
          <w:szCs w:val="22"/>
          <w:lang w:eastAsia="en-GB"/>
        </w:rPr>
        <w:t xml:space="preserve"> and therefore </w:t>
      </w:r>
      <w:r w:rsidR="00F734F7" w:rsidRPr="001D52A0">
        <w:rPr>
          <w:rFonts w:asciiTheme="minorHAnsi" w:hAnsiTheme="minorHAnsi" w:cs="Arial"/>
          <w:sz w:val="22"/>
          <w:szCs w:val="22"/>
          <w:lang w:eastAsia="en-GB"/>
        </w:rPr>
        <w:t>the levies over the life of the asset fund</w:t>
      </w:r>
      <w:r w:rsidR="002F4D60" w:rsidRPr="001D52A0">
        <w:rPr>
          <w:rFonts w:asciiTheme="minorHAnsi" w:hAnsiTheme="minorHAnsi" w:cs="Arial"/>
          <w:sz w:val="22"/>
          <w:szCs w:val="22"/>
          <w:lang w:eastAsia="en-GB"/>
        </w:rPr>
        <w:t xml:space="preserve"> its </w:t>
      </w:r>
      <w:r w:rsidR="00F734F7" w:rsidRPr="001D52A0">
        <w:rPr>
          <w:rFonts w:asciiTheme="minorHAnsi" w:hAnsiTheme="minorHAnsi" w:cs="Arial"/>
          <w:sz w:val="22"/>
          <w:szCs w:val="22"/>
          <w:lang w:eastAsia="en-GB"/>
        </w:rPr>
        <w:t>purchase</w:t>
      </w:r>
      <w:r w:rsidRPr="001D52A0">
        <w:rPr>
          <w:rFonts w:asciiTheme="minorHAnsi" w:hAnsiTheme="minorHAnsi" w:cs="Arial"/>
          <w:sz w:val="22"/>
          <w:szCs w:val="22"/>
          <w:lang w:eastAsia="en-GB"/>
        </w:rPr>
        <w:t xml:space="preserve">. </w:t>
      </w:r>
    </w:p>
    <w:p w14:paraId="5A3A3CD1" w14:textId="77777777" w:rsidR="00F734F7" w:rsidRPr="001D52A0" w:rsidRDefault="00F734F7" w:rsidP="004E4209">
      <w:pPr>
        <w:numPr>
          <w:ilvl w:val="1"/>
          <w:numId w:val="18"/>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lang w:eastAsia="en-GB"/>
        </w:rPr>
        <w:t xml:space="preserve">However, </w:t>
      </w:r>
      <w:r w:rsidR="004476A2" w:rsidRPr="001D52A0">
        <w:rPr>
          <w:rFonts w:asciiTheme="minorHAnsi" w:hAnsiTheme="minorHAnsi" w:cs="Arial"/>
          <w:sz w:val="22"/>
          <w:szCs w:val="22"/>
          <w:lang w:eastAsia="en-GB"/>
        </w:rPr>
        <w:t xml:space="preserve">the acquisition of the sites freehold is essentially a </w:t>
      </w:r>
      <w:r w:rsidRPr="001D52A0">
        <w:rPr>
          <w:rFonts w:asciiTheme="minorHAnsi" w:hAnsiTheme="minorHAnsi" w:cs="Arial"/>
          <w:sz w:val="22"/>
          <w:szCs w:val="22"/>
          <w:lang w:eastAsia="en-GB"/>
        </w:rPr>
        <w:t>purchase of land</w:t>
      </w:r>
      <w:r w:rsidR="004476A2" w:rsidRPr="001D52A0">
        <w:rPr>
          <w:rFonts w:asciiTheme="minorHAnsi" w:hAnsiTheme="minorHAnsi" w:cs="Arial"/>
          <w:sz w:val="22"/>
          <w:szCs w:val="22"/>
          <w:lang w:eastAsia="en-GB"/>
        </w:rPr>
        <w:t xml:space="preserve">. </w:t>
      </w:r>
      <w:r w:rsidR="002F4D60" w:rsidRPr="001D52A0">
        <w:rPr>
          <w:rFonts w:asciiTheme="minorHAnsi" w:hAnsiTheme="minorHAnsi" w:cs="Arial"/>
          <w:sz w:val="22"/>
          <w:szCs w:val="22"/>
          <w:lang w:eastAsia="en-GB"/>
        </w:rPr>
        <w:t>For land, a</w:t>
      </w:r>
      <w:r w:rsidR="004476A2" w:rsidRPr="001D52A0">
        <w:rPr>
          <w:rFonts w:asciiTheme="minorHAnsi" w:hAnsiTheme="minorHAnsi" w:cs="Arial"/>
          <w:sz w:val="22"/>
          <w:szCs w:val="22"/>
          <w:lang w:eastAsia="en-GB"/>
        </w:rPr>
        <w:t xml:space="preserve">ccounting rules do not </w:t>
      </w:r>
      <w:r w:rsidR="002F4D60" w:rsidRPr="001D52A0">
        <w:rPr>
          <w:rFonts w:asciiTheme="minorHAnsi" w:hAnsiTheme="minorHAnsi" w:cs="Arial"/>
          <w:sz w:val="22"/>
          <w:szCs w:val="22"/>
          <w:lang w:eastAsia="en-GB"/>
        </w:rPr>
        <w:t xml:space="preserve">allow </w:t>
      </w:r>
      <w:r w:rsidRPr="001D52A0">
        <w:rPr>
          <w:rFonts w:asciiTheme="minorHAnsi" w:hAnsiTheme="minorHAnsi" w:cs="Arial"/>
          <w:sz w:val="22"/>
          <w:szCs w:val="22"/>
          <w:lang w:eastAsia="en-GB"/>
        </w:rPr>
        <w:t xml:space="preserve">a depreciation charge. This means that </w:t>
      </w:r>
      <w:r w:rsidR="004476A2" w:rsidRPr="001D52A0">
        <w:rPr>
          <w:rFonts w:asciiTheme="minorHAnsi" w:hAnsiTheme="minorHAnsi" w:cs="Arial"/>
          <w:sz w:val="22"/>
          <w:szCs w:val="22"/>
          <w:lang w:eastAsia="en-GB"/>
        </w:rPr>
        <w:t xml:space="preserve">in order to fund the purchase through levies </w:t>
      </w:r>
      <w:r w:rsidRPr="001D52A0">
        <w:rPr>
          <w:rFonts w:asciiTheme="minorHAnsi" w:hAnsiTheme="minorHAnsi" w:cs="Arial"/>
          <w:sz w:val="22"/>
          <w:szCs w:val="22"/>
          <w:lang w:eastAsia="en-GB"/>
        </w:rPr>
        <w:t xml:space="preserve">a </w:t>
      </w:r>
      <w:r w:rsidR="004476A2" w:rsidRPr="001D52A0">
        <w:rPr>
          <w:rFonts w:asciiTheme="minorHAnsi" w:hAnsiTheme="minorHAnsi" w:cs="Arial"/>
          <w:sz w:val="22"/>
          <w:szCs w:val="22"/>
          <w:lang w:eastAsia="en-GB"/>
        </w:rPr>
        <w:t xml:space="preserve">different </w:t>
      </w:r>
      <w:r w:rsidR="002F4D60" w:rsidRPr="001D52A0">
        <w:rPr>
          <w:rFonts w:asciiTheme="minorHAnsi" w:hAnsiTheme="minorHAnsi" w:cs="Arial"/>
          <w:sz w:val="22"/>
          <w:szCs w:val="22"/>
          <w:lang w:eastAsia="en-GB"/>
        </w:rPr>
        <w:t xml:space="preserve">(but comparable to depreciation) </w:t>
      </w:r>
      <w:r w:rsidR="004476A2" w:rsidRPr="001D52A0">
        <w:rPr>
          <w:rFonts w:asciiTheme="minorHAnsi" w:hAnsiTheme="minorHAnsi" w:cs="Arial"/>
          <w:sz w:val="22"/>
          <w:szCs w:val="22"/>
          <w:lang w:eastAsia="en-GB"/>
        </w:rPr>
        <w:t>annual charge is made – the revenu</w:t>
      </w:r>
      <w:r w:rsidR="002F4D60" w:rsidRPr="001D52A0">
        <w:rPr>
          <w:rFonts w:asciiTheme="minorHAnsi" w:hAnsiTheme="minorHAnsi" w:cs="Arial"/>
          <w:sz w:val="22"/>
          <w:szCs w:val="22"/>
          <w:lang w:eastAsia="en-GB"/>
        </w:rPr>
        <w:t>e funding of debt.</w:t>
      </w:r>
    </w:p>
    <w:p w14:paraId="073BFC6A" w14:textId="77777777" w:rsidR="00C8559C" w:rsidRPr="001D52A0" w:rsidRDefault="00C8559C" w:rsidP="00CB655A">
      <w:pPr>
        <w:numPr>
          <w:ilvl w:val="0"/>
          <w:numId w:val="33"/>
        </w:numPr>
        <w:autoSpaceDE w:val="0"/>
        <w:autoSpaceDN w:val="0"/>
        <w:adjustRightInd w:val="0"/>
        <w:spacing w:before="240" w:after="120"/>
        <w:jc w:val="both"/>
        <w:rPr>
          <w:rFonts w:asciiTheme="minorHAnsi" w:hAnsiTheme="minorHAnsi" w:cs="Arial"/>
          <w:b/>
          <w:sz w:val="22"/>
          <w:szCs w:val="22"/>
          <w:lang w:eastAsia="en-GB"/>
        </w:rPr>
      </w:pPr>
      <w:r w:rsidRPr="001D52A0">
        <w:rPr>
          <w:rFonts w:asciiTheme="minorHAnsi" w:hAnsiTheme="minorHAnsi" w:cs="Arial"/>
          <w:b/>
          <w:sz w:val="22"/>
          <w:szCs w:val="22"/>
          <w:lang w:eastAsia="en-GB"/>
        </w:rPr>
        <w:t xml:space="preserve">Concession Accounting Adjustments </w:t>
      </w:r>
    </w:p>
    <w:p w14:paraId="234F23DC" w14:textId="77777777" w:rsidR="00122578" w:rsidRPr="001D52A0" w:rsidRDefault="00122578" w:rsidP="004E4209">
      <w:pPr>
        <w:numPr>
          <w:ilvl w:val="1"/>
          <w:numId w:val="19"/>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Essentially under a PPP arrangement a contractor pays for the construction of an asset and then recovers its investment over a long period through its operational charges to the local authority</w:t>
      </w:r>
      <w:r w:rsidR="00A85B96" w:rsidRPr="001D52A0">
        <w:rPr>
          <w:rFonts w:asciiTheme="minorHAnsi" w:hAnsiTheme="minorHAnsi" w:cs="Arial"/>
          <w:sz w:val="22"/>
          <w:szCs w:val="22"/>
        </w:rPr>
        <w:t xml:space="preserve"> (i.e. its price per tonne)</w:t>
      </w:r>
      <w:r w:rsidRPr="001D52A0">
        <w:rPr>
          <w:rFonts w:asciiTheme="minorHAnsi" w:hAnsiTheme="minorHAnsi" w:cs="Arial"/>
          <w:sz w:val="22"/>
          <w:szCs w:val="22"/>
        </w:rPr>
        <w:t>.</w:t>
      </w:r>
    </w:p>
    <w:p w14:paraId="2E1F6EFD" w14:textId="77777777" w:rsidR="00122578" w:rsidRPr="001D52A0" w:rsidRDefault="00122578" w:rsidP="004E4209">
      <w:pPr>
        <w:numPr>
          <w:ilvl w:val="1"/>
          <w:numId w:val="19"/>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 xml:space="preserve">There are very specific and detailed accounting requirements that govern this type of arrangement. This is because the underlying nature of this transaction is that the local authority </w:t>
      </w:r>
      <w:r w:rsidRPr="001D52A0">
        <w:rPr>
          <w:rFonts w:asciiTheme="minorHAnsi" w:hAnsiTheme="minorHAnsi" w:cs="Arial"/>
          <w:i/>
          <w:sz w:val="22"/>
          <w:szCs w:val="22"/>
        </w:rPr>
        <w:t>essentially</w:t>
      </w:r>
      <w:r w:rsidRPr="001D52A0">
        <w:rPr>
          <w:rFonts w:asciiTheme="minorHAnsi" w:hAnsiTheme="minorHAnsi" w:cs="Arial"/>
          <w:sz w:val="22"/>
          <w:szCs w:val="22"/>
        </w:rPr>
        <w:t xml:space="preserve"> owns the asset </w:t>
      </w:r>
      <w:r w:rsidR="00F76350" w:rsidRPr="001D52A0">
        <w:rPr>
          <w:rFonts w:asciiTheme="minorHAnsi" w:hAnsiTheme="minorHAnsi" w:cs="Arial"/>
          <w:sz w:val="22"/>
          <w:szCs w:val="22"/>
        </w:rPr>
        <w:t xml:space="preserve">for a period of time </w:t>
      </w:r>
      <w:r w:rsidRPr="001D52A0">
        <w:rPr>
          <w:rFonts w:asciiTheme="minorHAnsi" w:hAnsiTheme="minorHAnsi" w:cs="Arial"/>
          <w:sz w:val="22"/>
          <w:szCs w:val="22"/>
        </w:rPr>
        <w:t xml:space="preserve">and the contractor is </w:t>
      </w:r>
      <w:r w:rsidRPr="001D52A0">
        <w:rPr>
          <w:rFonts w:asciiTheme="minorHAnsi" w:hAnsiTheme="minorHAnsi" w:cs="Arial"/>
          <w:i/>
          <w:sz w:val="22"/>
          <w:szCs w:val="22"/>
        </w:rPr>
        <w:t>essentially</w:t>
      </w:r>
      <w:r w:rsidRPr="001D52A0">
        <w:rPr>
          <w:rFonts w:asciiTheme="minorHAnsi" w:hAnsiTheme="minorHAnsi" w:cs="Arial"/>
          <w:sz w:val="22"/>
          <w:szCs w:val="22"/>
        </w:rPr>
        <w:t xml:space="preserve"> a lender financing the construction of the asset.</w:t>
      </w:r>
    </w:p>
    <w:p w14:paraId="06F19F01" w14:textId="77777777" w:rsidR="00714EA3" w:rsidRPr="001D52A0" w:rsidRDefault="00122578" w:rsidP="004E4209">
      <w:pPr>
        <w:numPr>
          <w:ilvl w:val="1"/>
          <w:numId w:val="19"/>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The key feature of the accounting is the calculation of a concession accounting adjustment</w:t>
      </w:r>
      <w:r w:rsidR="00A85B96" w:rsidRPr="001D52A0">
        <w:rPr>
          <w:rFonts w:asciiTheme="minorHAnsi" w:hAnsiTheme="minorHAnsi" w:cs="Arial"/>
          <w:sz w:val="22"/>
          <w:szCs w:val="22"/>
        </w:rPr>
        <w:t xml:space="preserve"> to separate out the disposal and financing costs</w:t>
      </w:r>
      <w:r w:rsidR="00F76350" w:rsidRPr="001D52A0">
        <w:rPr>
          <w:rFonts w:asciiTheme="minorHAnsi" w:hAnsiTheme="minorHAnsi" w:cs="Arial"/>
          <w:sz w:val="22"/>
          <w:szCs w:val="22"/>
        </w:rPr>
        <w:t>,</w:t>
      </w:r>
      <w:r w:rsidR="00D25447" w:rsidRPr="001D52A0">
        <w:rPr>
          <w:rFonts w:asciiTheme="minorHAnsi" w:hAnsiTheme="minorHAnsi" w:cs="Arial"/>
          <w:sz w:val="22"/>
          <w:szCs w:val="22"/>
        </w:rPr>
        <w:t xml:space="preserve"> followed by stripping out from expenditure a notional sum for the repayment of any underlying borrowing by the contractor.</w:t>
      </w:r>
    </w:p>
    <w:p w14:paraId="7E6D9A96" w14:textId="63C0BAB4" w:rsidR="00183E23" w:rsidRPr="001D52A0" w:rsidRDefault="00714EA3" w:rsidP="004E4209">
      <w:pPr>
        <w:numPr>
          <w:ilvl w:val="1"/>
          <w:numId w:val="19"/>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 xml:space="preserve"> </w:t>
      </w:r>
      <w:r w:rsidR="00AC3E52" w:rsidRPr="001D52A0">
        <w:rPr>
          <w:rFonts w:asciiTheme="minorHAnsi" w:hAnsiTheme="minorHAnsi" w:cs="Arial"/>
          <w:sz w:val="22"/>
          <w:szCs w:val="22"/>
        </w:rPr>
        <w:t xml:space="preserve">The </w:t>
      </w:r>
      <w:r w:rsidR="00122578" w:rsidRPr="001D52A0">
        <w:rPr>
          <w:rFonts w:asciiTheme="minorHAnsi" w:hAnsiTheme="minorHAnsi" w:cs="Arial"/>
          <w:sz w:val="22"/>
          <w:szCs w:val="22"/>
        </w:rPr>
        <w:t xml:space="preserve">concession </w:t>
      </w:r>
      <w:r w:rsidR="001328FD" w:rsidRPr="001D52A0">
        <w:rPr>
          <w:rFonts w:asciiTheme="minorHAnsi" w:hAnsiTheme="minorHAnsi" w:cs="Arial"/>
          <w:sz w:val="22"/>
          <w:szCs w:val="22"/>
        </w:rPr>
        <w:t xml:space="preserve">accounting </w:t>
      </w:r>
      <w:r w:rsidR="00122578" w:rsidRPr="001D52A0">
        <w:rPr>
          <w:rFonts w:asciiTheme="minorHAnsi" w:hAnsiTheme="minorHAnsi" w:cs="Arial"/>
          <w:sz w:val="22"/>
          <w:szCs w:val="22"/>
        </w:rPr>
        <w:t xml:space="preserve">adjustments over the term of the contract </w:t>
      </w:r>
      <w:r w:rsidR="00AC3E52" w:rsidRPr="001D52A0">
        <w:rPr>
          <w:rFonts w:asciiTheme="minorHAnsi" w:hAnsiTheme="minorHAnsi" w:cs="Arial"/>
          <w:sz w:val="22"/>
          <w:szCs w:val="22"/>
        </w:rPr>
        <w:t xml:space="preserve">were agreed with the auditors </w:t>
      </w:r>
      <w:r w:rsidR="00044E5F" w:rsidRPr="001D52A0">
        <w:rPr>
          <w:rFonts w:asciiTheme="minorHAnsi" w:hAnsiTheme="minorHAnsi" w:cs="Arial"/>
          <w:sz w:val="22"/>
          <w:szCs w:val="22"/>
        </w:rPr>
        <w:t>EY</w:t>
      </w:r>
      <w:r w:rsidR="00AC3E52" w:rsidRPr="001D52A0">
        <w:rPr>
          <w:rFonts w:asciiTheme="minorHAnsi" w:hAnsiTheme="minorHAnsi" w:cs="Arial"/>
          <w:sz w:val="22"/>
          <w:szCs w:val="22"/>
        </w:rPr>
        <w:t>.</w:t>
      </w:r>
      <w:r w:rsidR="00AA27A1" w:rsidRPr="001D52A0">
        <w:rPr>
          <w:rFonts w:asciiTheme="minorHAnsi" w:hAnsiTheme="minorHAnsi" w:cs="Arial"/>
          <w:sz w:val="22"/>
          <w:szCs w:val="22"/>
        </w:rPr>
        <w:t xml:space="preserve"> </w:t>
      </w:r>
      <w:r w:rsidR="00122578" w:rsidRPr="001D52A0">
        <w:rPr>
          <w:rFonts w:asciiTheme="minorHAnsi" w:hAnsiTheme="minorHAnsi" w:cs="Arial"/>
          <w:sz w:val="22"/>
          <w:szCs w:val="22"/>
        </w:rPr>
        <w:t>For 20</w:t>
      </w:r>
      <w:r w:rsidR="00390AE8" w:rsidRPr="001D52A0">
        <w:rPr>
          <w:rFonts w:asciiTheme="minorHAnsi" w:hAnsiTheme="minorHAnsi" w:cs="Arial"/>
          <w:sz w:val="22"/>
          <w:szCs w:val="22"/>
        </w:rPr>
        <w:t>24</w:t>
      </w:r>
      <w:r w:rsidR="00044E5F" w:rsidRPr="001D52A0">
        <w:rPr>
          <w:rFonts w:asciiTheme="minorHAnsi" w:hAnsiTheme="minorHAnsi" w:cs="Arial"/>
          <w:sz w:val="22"/>
          <w:szCs w:val="22"/>
        </w:rPr>
        <w:t>/</w:t>
      </w:r>
      <w:r w:rsidR="00CB6C08" w:rsidRPr="001D52A0">
        <w:rPr>
          <w:rFonts w:asciiTheme="minorHAnsi" w:hAnsiTheme="minorHAnsi" w:cs="Arial"/>
          <w:sz w:val="22"/>
          <w:szCs w:val="22"/>
        </w:rPr>
        <w:t>2</w:t>
      </w:r>
      <w:r w:rsidR="00390AE8" w:rsidRPr="001D52A0">
        <w:rPr>
          <w:rFonts w:asciiTheme="minorHAnsi" w:hAnsiTheme="minorHAnsi" w:cs="Arial"/>
          <w:sz w:val="22"/>
          <w:szCs w:val="22"/>
        </w:rPr>
        <w:t>5</w:t>
      </w:r>
      <w:r w:rsidR="00122578" w:rsidRPr="001D52A0">
        <w:rPr>
          <w:rFonts w:asciiTheme="minorHAnsi" w:hAnsiTheme="minorHAnsi" w:cs="Arial"/>
          <w:sz w:val="22"/>
          <w:szCs w:val="22"/>
        </w:rPr>
        <w:t xml:space="preserve"> they total £4.</w:t>
      </w:r>
      <w:r w:rsidR="00390AE8" w:rsidRPr="001D52A0">
        <w:rPr>
          <w:rFonts w:asciiTheme="minorHAnsi" w:hAnsiTheme="minorHAnsi" w:cs="Arial"/>
          <w:sz w:val="22"/>
          <w:szCs w:val="22"/>
        </w:rPr>
        <w:t>7</w:t>
      </w:r>
      <w:r w:rsidR="00122578" w:rsidRPr="001D52A0">
        <w:rPr>
          <w:rFonts w:asciiTheme="minorHAnsi" w:hAnsiTheme="minorHAnsi" w:cs="Arial"/>
          <w:sz w:val="22"/>
          <w:szCs w:val="22"/>
        </w:rPr>
        <w:t xml:space="preserve"> million</w:t>
      </w:r>
      <w:r w:rsidRPr="001D52A0">
        <w:rPr>
          <w:rFonts w:asciiTheme="minorHAnsi" w:hAnsiTheme="minorHAnsi" w:cs="Arial"/>
          <w:sz w:val="22"/>
          <w:szCs w:val="22"/>
        </w:rPr>
        <w:t>,</w:t>
      </w:r>
      <w:r w:rsidR="00122578" w:rsidRPr="001D52A0">
        <w:rPr>
          <w:rFonts w:asciiTheme="minorHAnsi" w:hAnsiTheme="minorHAnsi" w:cs="Arial"/>
          <w:sz w:val="22"/>
          <w:szCs w:val="22"/>
        </w:rPr>
        <w:t xml:space="preserve"> </w:t>
      </w:r>
      <w:r w:rsidR="00CF141D" w:rsidRPr="001D52A0">
        <w:rPr>
          <w:rFonts w:asciiTheme="minorHAnsi" w:hAnsiTheme="minorHAnsi" w:cs="Arial"/>
          <w:sz w:val="22"/>
          <w:szCs w:val="22"/>
        </w:rPr>
        <w:t>compared to £</w:t>
      </w:r>
      <w:r w:rsidR="00D25447" w:rsidRPr="001D52A0">
        <w:rPr>
          <w:rFonts w:asciiTheme="minorHAnsi" w:hAnsiTheme="minorHAnsi" w:cs="Arial"/>
          <w:sz w:val="22"/>
          <w:szCs w:val="22"/>
        </w:rPr>
        <w:t>4.</w:t>
      </w:r>
      <w:r w:rsidR="00390AE8" w:rsidRPr="001D52A0">
        <w:rPr>
          <w:rFonts w:asciiTheme="minorHAnsi" w:hAnsiTheme="minorHAnsi" w:cs="Arial"/>
          <w:sz w:val="22"/>
          <w:szCs w:val="22"/>
        </w:rPr>
        <w:t>6</w:t>
      </w:r>
      <w:r w:rsidR="00AD5F57" w:rsidRPr="001D52A0">
        <w:rPr>
          <w:rFonts w:asciiTheme="minorHAnsi" w:hAnsiTheme="minorHAnsi" w:cs="Arial"/>
          <w:sz w:val="22"/>
          <w:szCs w:val="22"/>
        </w:rPr>
        <w:t xml:space="preserve"> million in 202</w:t>
      </w:r>
      <w:r w:rsidR="00390AE8" w:rsidRPr="001D52A0">
        <w:rPr>
          <w:rFonts w:asciiTheme="minorHAnsi" w:hAnsiTheme="minorHAnsi" w:cs="Arial"/>
          <w:sz w:val="22"/>
          <w:szCs w:val="22"/>
        </w:rPr>
        <w:t>3</w:t>
      </w:r>
      <w:r w:rsidR="00CF141D" w:rsidRPr="001D52A0">
        <w:rPr>
          <w:rFonts w:asciiTheme="minorHAnsi" w:hAnsiTheme="minorHAnsi" w:cs="Arial"/>
          <w:sz w:val="22"/>
          <w:szCs w:val="22"/>
        </w:rPr>
        <w:t>/</w:t>
      </w:r>
      <w:r w:rsidR="00D25447" w:rsidRPr="001D52A0">
        <w:rPr>
          <w:rFonts w:asciiTheme="minorHAnsi" w:hAnsiTheme="minorHAnsi" w:cs="Arial"/>
          <w:sz w:val="22"/>
          <w:szCs w:val="22"/>
        </w:rPr>
        <w:t>2</w:t>
      </w:r>
      <w:r w:rsidR="00390AE8" w:rsidRPr="001D52A0">
        <w:rPr>
          <w:rFonts w:asciiTheme="minorHAnsi" w:hAnsiTheme="minorHAnsi" w:cs="Arial"/>
          <w:sz w:val="22"/>
          <w:szCs w:val="22"/>
        </w:rPr>
        <w:t>4</w:t>
      </w:r>
      <w:r w:rsidR="00CF141D" w:rsidRPr="001D52A0">
        <w:rPr>
          <w:rFonts w:asciiTheme="minorHAnsi" w:hAnsiTheme="minorHAnsi" w:cs="Arial"/>
          <w:sz w:val="22"/>
          <w:szCs w:val="22"/>
        </w:rPr>
        <w:t xml:space="preserve">. This </w:t>
      </w:r>
      <w:r w:rsidR="00C17891" w:rsidRPr="001D52A0">
        <w:rPr>
          <w:rFonts w:asciiTheme="minorHAnsi" w:hAnsiTheme="minorHAnsi" w:cs="Arial"/>
          <w:sz w:val="22"/>
          <w:szCs w:val="22"/>
        </w:rPr>
        <w:t xml:space="preserve">accounting adjustment </w:t>
      </w:r>
      <w:r w:rsidR="00CF141D" w:rsidRPr="001D52A0">
        <w:rPr>
          <w:rFonts w:asciiTheme="minorHAnsi" w:hAnsiTheme="minorHAnsi" w:cs="Arial"/>
          <w:sz w:val="22"/>
          <w:szCs w:val="22"/>
        </w:rPr>
        <w:t>reduces overall costs and levies</w:t>
      </w:r>
      <w:r w:rsidR="000029C8" w:rsidRPr="001D52A0">
        <w:rPr>
          <w:rFonts w:asciiTheme="minorHAnsi" w:hAnsiTheme="minorHAnsi" w:cs="Arial"/>
          <w:sz w:val="22"/>
          <w:szCs w:val="22"/>
        </w:rPr>
        <w:t>.</w:t>
      </w:r>
      <w:r w:rsidR="00CF141D" w:rsidRPr="001D52A0">
        <w:rPr>
          <w:rFonts w:asciiTheme="minorHAnsi" w:hAnsiTheme="minorHAnsi" w:cs="Arial"/>
          <w:sz w:val="22"/>
          <w:szCs w:val="22"/>
        </w:rPr>
        <w:t xml:space="preserve"> </w:t>
      </w:r>
      <w:r w:rsidR="005A0704" w:rsidRPr="001D52A0">
        <w:rPr>
          <w:rFonts w:asciiTheme="minorHAnsi" w:hAnsiTheme="minorHAnsi" w:cs="Arial"/>
          <w:sz w:val="22"/>
          <w:szCs w:val="22"/>
        </w:rPr>
        <w:t xml:space="preserve"> </w:t>
      </w:r>
    </w:p>
    <w:p w14:paraId="4DD079A8" w14:textId="37164BEC" w:rsidR="00C5568D" w:rsidRPr="001D52A0" w:rsidRDefault="002C2107" w:rsidP="00CB655A">
      <w:pPr>
        <w:numPr>
          <w:ilvl w:val="0"/>
          <w:numId w:val="33"/>
        </w:numPr>
        <w:autoSpaceDE w:val="0"/>
        <w:autoSpaceDN w:val="0"/>
        <w:adjustRightInd w:val="0"/>
        <w:spacing w:before="240" w:after="120"/>
        <w:jc w:val="both"/>
        <w:rPr>
          <w:rFonts w:asciiTheme="minorHAnsi" w:hAnsiTheme="minorHAnsi" w:cs="Arial"/>
          <w:b/>
          <w:sz w:val="22"/>
          <w:szCs w:val="22"/>
        </w:rPr>
      </w:pPr>
      <w:r w:rsidRPr="001D52A0">
        <w:rPr>
          <w:rFonts w:asciiTheme="minorHAnsi" w:hAnsiTheme="minorHAnsi" w:cs="Arial"/>
          <w:b/>
          <w:sz w:val="22"/>
          <w:szCs w:val="22"/>
        </w:rPr>
        <w:t xml:space="preserve">Growth and </w:t>
      </w:r>
      <w:r w:rsidR="00C5568D" w:rsidRPr="001D52A0">
        <w:rPr>
          <w:rFonts w:asciiTheme="minorHAnsi" w:hAnsiTheme="minorHAnsi" w:cs="Arial"/>
          <w:b/>
          <w:sz w:val="22"/>
          <w:szCs w:val="22"/>
        </w:rPr>
        <w:t>Savings</w:t>
      </w:r>
    </w:p>
    <w:p w14:paraId="51D803F6" w14:textId="77777777" w:rsidR="00373ACE" w:rsidRPr="001D52A0" w:rsidRDefault="00373ACE" w:rsidP="004E4209">
      <w:pPr>
        <w:numPr>
          <w:ilvl w:val="1"/>
          <w:numId w:val="20"/>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The majority of Authority spending is comm</w:t>
      </w:r>
      <w:r w:rsidR="00F76350" w:rsidRPr="001D52A0">
        <w:rPr>
          <w:rFonts w:asciiTheme="minorHAnsi" w:hAnsiTheme="minorHAnsi" w:cs="Arial"/>
          <w:sz w:val="22"/>
          <w:szCs w:val="22"/>
        </w:rPr>
        <w:t>itted under long term</w:t>
      </w:r>
      <w:r w:rsidRPr="001D52A0">
        <w:rPr>
          <w:rFonts w:asciiTheme="minorHAnsi" w:hAnsiTheme="minorHAnsi" w:cs="Arial"/>
          <w:sz w:val="22"/>
          <w:szCs w:val="22"/>
        </w:rPr>
        <w:t xml:space="preserve"> contracts (</w:t>
      </w:r>
      <w:r w:rsidR="00F76350" w:rsidRPr="001D52A0">
        <w:rPr>
          <w:rFonts w:asciiTheme="minorHAnsi" w:hAnsiTheme="minorHAnsi" w:cs="Arial"/>
          <w:sz w:val="22"/>
          <w:szCs w:val="22"/>
        </w:rPr>
        <w:t xml:space="preserve">e.g. </w:t>
      </w:r>
      <w:r w:rsidR="008E4A75" w:rsidRPr="001D52A0">
        <w:rPr>
          <w:rFonts w:asciiTheme="minorHAnsi" w:hAnsiTheme="minorHAnsi" w:cs="Arial"/>
          <w:sz w:val="22"/>
          <w:szCs w:val="22"/>
        </w:rPr>
        <w:t>PPP</w:t>
      </w:r>
      <w:r w:rsidRPr="001D52A0">
        <w:rPr>
          <w:rFonts w:asciiTheme="minorHAnsi" w:hAnsiTheme="minorHAnsi" w:cs="Arial"/>
          <w:sz w:val="22"/>
          <w:szCs w:val="22"/>
        </w:rPr>
        <w:t>) or agreements (</w:t>
      </w:r>
      <w:r w:rsidR="00F76350" w:rsidRPr="001D52A0">
        <w:rPr>
          <w:rFonts w:asciiTheme="minorHAnsi" w:hAnsiTheme="minorHAnsi" w:cs="Arial"/>
          <w:sz w:val="22"/>
          <w:szCs w:val="22"/>
        </w:rPr>
        <w:t xml:space="preserve">e.g. </w:t>
      </w:r>
      <w:r w:rsidRPr="001D52A0">
        <w:rPr>
          <w:rFonts w:asciiTheme="minorHAnsi" w:hAnsiTheme="minorHAnsi" w:cs="Arial"/>
          <w:sz w:val="22"/>
          <w:szCs w:val="22"/>
        </w:rPr>
        <w:t>loans) or governed by accounting requirements (</w:t>
      </w:r>
      <w:r w:rsidR="00F76350" w:rsidRPr="001D52A0">
        <w:rPr>
          <w:rFonts w:asciiTheme="minorHAnsi" w:hAnsiTheme="minorHAnsi" w:cs="Arial"/>
          <w:sz w:val="22"/>
          <w:szCs w:val="22"/>
        </w:rPr>
        <w:t xml:space="preserve">e.g. </w:t>
      </w:r>
      <w:r w:rsidRPr="001D52A0">
        <w:rPr>
          <w:rFonts w:asciiTheme="minorHAnsi" w:hAnsiTheme="minorHAnsi" w:cs="Arial"/>
          <w:sz w:val="22"/>
          <w:szCs w:val="22"/>
        </w:rPr>
        <w:t>depreciation).</w:t>
      </w:r>
      <w:r w:rsidR="002C2107" w:rsidRPr="001D52A0">
        <w:rPr>
          <w:rFonts w:asciiTheme="minorHAnsi" w:hAnsiTheme="minorHAnsi" w:cs="Arial"/>
          <w:sz w:val="22"/>
          <w:szCs w:val="22"/>
        </w:rPr>
        <w:t xml:space="preserve"> </w:t>
      </w:r>
      <w:r w:rsidR="007A08FB" w:rsidRPr="001D52A0">
        <w:rPr>
          <w:rFonts w:asciiTheme="minorHAnsi" w:hAnsiTheme="minorHAnsi" w:cs="Arial"/>
          <w:sz w:val="22"/>
          <w:szCs w:val="22"/>
        </w:rPr>
        <w:t xml:space="preserve">This </w:t>
      </w:r>
      <w:r w:rsidR="002C2107" w:rsidRPr="001D52A0">
        <w:rPr>
          <w:rFonts w:asciiTheme="minorHAnsi" w:hAnsiTheme="minorHAnsi" w:cs="Arial"/>
          <w:sz w:val="22"/>
          <w:szCs w:val="22"/>
        </w:rPr>
        <w:t>leav</w:t>
      </w:r>
      <w:r w:rsidR="007A08FB" w:rsidRPr="001D52A0">
        <w:rPr>
          <w:rFonts w:asciiTheme="minorHAnsi" w:hAnsiTheme="minorHAnsi" w:cs="Arial"/>
          <w:sz w:val="22"/>
          <w:szCs w:val="22"/>
        </w:rPr>
        <w:t>es</w:t>
      </w:r>
      <w:r w:rsidR="002C2107" w:rsidRPr="001D52A0">
        <w:rPr>
          <w:rFonts w:asciiTheme="minorHAnsi" w:hAnsiTheme="minorHAnsi" w:cs="Arial"/>
          <w:sz w:val="22"/>
          <w:szCs w:val="22"/>
        </w:rPr>
        <w:t xml:space="preserve"> less opportunity for savings.</w:t>
      </w:r>
    </w:p>
    <w:p w14:paraId="671CDDB7" w14:textId="77777777" w:rsidR="00911399" w:rsidRPr="001D52A0" w:rsidRDefault="00373ACE" w:rsidP="004E4209">
      <w:pPr>
        <w:numPr>
          <w:ilvl w:val="1"/>
          <w:numId w:val="20"/>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However, a</w:t>
      </w:r>
      <w:r w:rsidR="00694C41" w:rsidRPr="001D52A0">
        <w:rPr>
          <w:rFonts w:asciiTheme="minorHAnsi" w:hAnsiTheme="minorHAnsi" w:cs="Arial"/>
          <w:sz w:val="22"/>
          <w:szCs w:val="22"/>
        </w:rPr>
        <w:t xml:space="preserve">s part of the budget setting </w:t>
      </w:r>
      <w:r w:rsidR="00771BDF" w:rsidRPr="001D52A0">
        <w:rPr>
          <w:rFonts w:asciiTheme="minorHAnsi" w:hAnsiTheme="minorHAnsi" w:cs="Arial"/>
          <w:sz w:val="22"/>
          <w:szCs w:val="22"/>
        </w:rPr>
        <w:t xml:space="preserve">process at an operational level, </w:t>
      </w:r>
      <w:r w:rsidR="00694C41" w:rsidRPr="001D52A0">
        <w:rPr>
          <w:rFonts w:asciiTheme="minorHAnsi" w:hAnsiTheme="minorHAnsi" w:cs="Arial"/>
          <w:sz w:val="22"/>
          <w:szCs w:val="22"/>
        </w:rPr>
        <w:t xml:space="preserve">a variety </w:t>
      </w:r>
      <w:r w:rsidR="00771BDF" w:rsidRPr="001D52A0">
        <w:rPr>
          <w:rFonts w:asciiTheme="minorHAnsi" w:hAnsiTheme="minorHAnsi" w:cs="Arial"/>
          <w:sz w:val="22"/>
          <w:szCs w:val="22"/>
        </w:rPr>
        <w:t xml:space="preserve">of </w:t>
      </w:r>
      <w:r w:rsidR="00694C41" w:rsidRPr="001D52A0">
        <w:rPr>
          <w:rFonts w:asciiTheme="minorHAnsi" w:hAnsiTheme="minorHAnsi" w:cs="Arial"/>
          <w:sz w:val="22"/>
          <w:szCs w:val="22"/>
        </w:rPr>
        <w:t xml:space="preserve">measures </w:t>
      </w:r>
      <w:r w:rsidR="00B550CC" w:rsidRPr="001D52A0">
        <w:rPr>
          <w:rFonts w:asciiTheme="minorHAnsi" w:hAnsiTheme="minorHAnsi" w:cs="Arial"/>
          <w:sz w:val="22"/>
          <w:szCs w:val="22"/>
        </w:rPr>
        <w:t xml:space="preserve">(including </w:t>
      </w:r>
      <w:r w:rsidR="00AA0CB9" w:rsidRPr="001D52A0">
        <w:rPr>
          <w:rFonts w:asciiTheme="minorHAnsi" w:hAnsiTheme="minorHAnsi" w:cs="Arial"/>
          <w:sz w:val="22"/>
          <w:szCs w:val="22"/>
        </w:rPr>
        <w:t xml:space="preserve">a </w:t>
      </w:r>
      <w:r w:rsidR="00B550CC" w:rsidRPr="001D52A0">
        <w:rPr>
          <w:rFonts w:asciiTheme="minorHAnsi" w:hAnsiTheme="minorHAnsi" w:cs="Arial"/>
          <w:sz w:val="22"/>
          <w:szCs w:val="22"/>
        </w:rPr>
        <w:t>managers</w:t>
      </w:r>
      <w:r w:rsidR="00AA0CB9" w:rsidRPr="001D52A0">
        <w:rPr>
          <w:rFonts w:asciiTheme="minorHAnsi" w:hAnsiTheme="minorHAnsi" w:cs="Arial"/>
          <w:sz w:val="22"/>
          <w:szCs w:val="22"/>
        </w:rPr>
        <w:t>’</w:t>
      </w:r>
      <w:r w:rsidR="00B550CC" w:rsidRPr="001D52A0">
        <w:rPr>
          <w:rFonts w:asciiTheme="minorHAnsi" w:hAnsiTheme="minorHAnsi" w:cs="Arial"/>
          <w:sz w:val="22"/>
          <w:szCs w:val="22"/>
        </w:rPr>
        <w:t xml:space="preserve"> challenge session with the Senior </w:t>
      </w:r>
      <w:r w:rsidR="00AA0CB9" w:rsidRPr="001D52A0">
        <w:rPr>
          <w:rFonts w:asciiTheme="minorHAnsi" w:hAnsiTheme="minorHAnsi" w:cs="Arial"/>
          <w:sz w:val="22"/>
          <w:szCs w:val="22"/>
        </w:rPr>
        <w:t xml:space="preserve">Leadership </w:t>
      </w:r>
      <w:r w:rsidR="00B550CC" w:rsidRPr="001D52A0">
        <w:rPr>
          <w:rFonts w:asciiTheme="minorHAnsi" w:hAnsiTheme="minorHAnsi" w:cs="Arial"/>
          <w:sz w:val="22"/>
          <w:szCs w:val="22"/>
        </w:rPr>
        <w:t xml:space="preserve">Team) </w:t>
      </w:r>
      <w:r w:rsidR="00694C41" w:rsidRPr="001D52A0">
        <w:rPr>
          <w:rFonts w:asciiTheme="minorHAnsi" w:hAnsiTheme="minorHAnsi" w:cs="Arial"/>
          <w:sz w:val="22"/>
          <w:szCs w:val="22"/>
        </w:rPr>
        <w:t xml:space="preserve">have </w:t>
      </w:r>
      <w:r w:rsidR="00771BDF" w:rsidRPr="001D52A0">
        <w:rPr>
          <w:rFonts w:asciiTheme="minorHAnsi" w:hAnsiTheme="minorHAnsi" w:cs="Arial"/>
          <w:sz w:val="22"/>
          <w:szCs w:val="22"/>
        </w:rPr>
        <w:t>ensured savings</w:t>
      </w:r>
      <w:r w:rsidR="00BF27F8" w:rsidRPr="001D52A0">
        <w:rPr>
          <w:rFonts w:asciiTheme="minorHAnsi" w:hAnsiTheme="minorHAnsi" w:cs="Arial"/>
          <w:sz w:val="22"/>
          <w:szCs w:val="22"/>
        </w:rPr>
        <w:t xml:space="preserve"> </w:t>
      </w:r>
      <w:r w:rsidRPr="001D52A0">
        <w:rPr>
          <w:rFonts w:asciiTheme="minorHAnsi" w:hAnsiTheme="minorHAnsi" w:cs="Arial"/>
          <w:sz w:val="22"/>
          <w:szCs w:val="22"/>
        </w:rPr>
        <w:t>across areas where managers are able to exercise some control.</w:t>
      </w:r>
      <w:r w:rsidR="00771BDF" w:rsidRPr="001D52A0">
        <w:rPr>
          <w:rFonts w:asciiTheme="minorHAnsi" w:hAnsiTheme="minorHAnsi" w:cs="Arial"/>
          <w:sz w:val="22"/>
          <w:szCs w:val="22"/>
        </w:rPr>
        <w:t xml:space="preserve"> </w:t>
      </w:r>
    </w:p>
    <w:p w14:paraId="59729E27" w14:textId="76CC0686" w:rsidR="003530F5" w:rsidRDefault="00AE241C" w:rsidP="004E4209">
      <w:pPr>
        <w:numPr>
          <w:ilvl w:val="1"/>
          <w:numId w:val="20"/>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T</w:t>
      </w:r>
      <w:r w:rsidR="002579A4" w:rsidRPr="001D52A0">
        <w:rPr>
          <w:rFonts w:asciiTheme="minorHAnsi" w:hAnsiTheme="minorHAnsi" w:cs="Arial"/>
          <w:sz w:val="22"/>
          <w:szCs w:val="22"/>
        </w:rPr>
        <w:t>he</w:t>
      </w:r>
      <w:r w:rsidR="00C5568D" w:rsidRPr="001D52A0">
        <w:rPr>
          <w:rFonts w:asciiTheme="minorHAnsi" w:hAnsiTheme="minorHAnsi" w:cs="Arial"/>
          <w:sz w:val="22"/>
          <w:szCs w:val="22"/>
        </w:rPr>
        <w:t xml:space="preserve"> table</w:t>
      </w:r>
      <w:r w:rsidR="00D90F35" w:rsidRPr="001D52A0">
        <w:rPr>
          <w:rFonts w:asciiTheme="minorHAnsi" w:hAnsiTheme="minorHAnsi" w:cs="Arial"/>
          <w:sz w:val="22"/>
          <w:szCs w:val="22"/>
        </w:rPr>
        <w:t>s</w:t>
      </w:r>
      <w:r w:rsidR="00C5568D" w:rsidRPr="001D52A0">
        <w:rPr>
          <w:rFonts w:asciiTheme="minorHAnsi" w:hAnsiTheme="minorHAnsi" w:cs="Arial"/>
          <w:sz w:val="22"/>
          <w:szCs w:val="22"/>
        </w:rPr>
        <w:t xml:space="preserve"> below identif</w:t>
      </w:r>
      <w:r w:rsidR="00D90F35" w:rsidRPr="001D52A0">
        <w:rPr>
          <w:rFonts w:asciiTheme="minorHAnsi" w:hAnsiTheme="minorHAnsi" w:cs="Arial"/>
          <w:sz w:val="22"/>
          <w:szCs w:val="22"/>
        </w:rPr>
        <w:t>y</w:t>
      </w:r>
      <w:r w:rsidR="00C5568D" w:rsidRPr="001D52A0">
        <w:rPr>
          <w:rFonts w:asciiTheme="minorHAnsi" w:hAnsiTheme="minorHAnsi" w:cs="Arial"/>
          <w:sz w:val="22"/>
          <w:szCs w:val="22"/>
        </w:rPr>
        <w:t xml:space="preserve"> </w:t>
      </w:r>
      <w:r w:rsidR="002C2107" w:rsidRPr="001D52A0">
        <w:rPr>
          <w:rFonts w:asciiTheme="minorHAnsi" w:hAnsiTheme="minorHAnsi" w:cs="Arial"/>
          <w:sz w:val="22"/>
          <w:szCs w:val="22"/>
        </w:rPr>
        <w:t xml:space="preserve">the growth and savings </w:t>
      </w:r>
      <w:r w:rsidR="00E447AE" w:rsidRPr="001D52A0">
        <w:rPr>
          <w:rFonts w:asciiTheme="minorHAnsi" w:hAnsiTheme="minorHAnsi" w:cs="Arial"/>
          <w:sz w:val="22"/>
          <w:szCs w:val="22"/>
        </w:rPr>
        <w:t xml:space="preserve">which are </w:t>
      </w:r>
      <w:r w:rsidR="00C5568D" w:rsidRPr="001D52A0">
        <w:rPr>
          <w:rFonts w:asciiTheme="minorHAnsi" w:hAnsiTheme="minorHAnsi" w:cs="Arial"/>
          <w:sz w:val="22"/>
          <w:szCs w:val="22"/>
        </w:rPr>
        <w:t>included within the 20</w:t>
      </w:r>
      <w:r w:rsidR="00AD5F57" w:rsidRPr="001D52A0">
        <w:rPr>
          <w:rFonts w:asciiTheme="minorHAnsi" w:hAnsiTheme="minorHAnsi" w:cs="Arial"/>
          <w:sz w:val="22"/>
          <w:szCs w:val="22"/>
        </w:rPr>
        <w:t>2</w:t>
      </w:r>
      <w:r w:rsidR="00B535D9" w:rsidRPr="001D52A0">
        <w:rPr>
          <w:rFonts w:asciiTheme="minorHAnsi" w:hAnsiTheme="minorHAnsi" w:cs="Arial"/>
          <w:sz w:val="22"/>
          <w:szCs w:val="22"/>
        </w:rPr>
        <w:t xml:space="preserve">4/25 </w:t>
      </w:r>
      <w:r w:rsidR="00C5568D" w:rsidRPr="001D52A0">
        <w:rPr>
          <w:rFonts w:asciiTheme="minorHAnsi" w:hAnsiTheme="minorHAnsi" w:cs="Arial"/>
          <w:sz w:val="22"/>
          <w:szCs w:val="22"/>
        </w:rPr>
        <w:t>draft budget</w:t>
      </w:r>
      <w:r w:rsidR="00E447AE" w:rsidRPr="001D52A0">
        <w:rPr>
          <w:rFonts w:asciiTheme="minorHAnsi" w:hAnsiTheme="minorHAnsi" w:cs="Arial"/>
          <w:sz w:val="22"/>
          <w:szCs w:val="22"/>
        </w:rPr>
        <w:t xml:space="preserve">. The tables </w:t>
      </w:r>
      <w:r w:rsidR="003530F5" w:rsidRPr="001D52A0">
        <w:rPr>
          <w:rFonts w:asciiTheme="minorHAnsi" w:hAnsiTheme="minorHAnsi" w:cs="Arial"/>
          <w:sz w:val="22"/>
          <w:szCs w:val="22"/>
        </w:rPr>
        <w:t xml:space="preserve">separate out real growth and savings from </w:t>
      </w:r>
      <w:r w:rsidR="00D90F35" w:rsidRPr="001D52A0">
        <w:rPr>
          <w:rFonts w:asciiTheme="minorHAnsi" w:hAnsiTheme="minorHAnsi" w:cs="Arial"/>
          <w:sz w:val="22"/>
          <w:szCs w:val="22"/>
        </w:rPr>
        <w:t>other</w:t>
      </w:r>
      <w:r w:rsidR="003530F5" w:rsidRPr="001D52A0">
        <w:rPr>
          <w:rFonts w:asciiTheme="minorHAnsi" w:hAnsiTheme="minorHAnsi" w:cs="Arial"/>
          <w:sz w:val="22"/>
          <w:szCs w:val="22"/>
        </w:rPr>
        <w:t xml:space="preserve"> </w:t>
      </w:r>
      <w:r w:rsidR="006036A3" w:rsidRPr="001D52A0">
        <w:rPr>
          <w:rFonts w:asciiTheme="minorHAnsi" w:hAnsiTheme="minorHAnsi" w:cs="Arial"/>
          <w:sz w:val="22"/>
          <w:szCs w:val="22"/>
        </w:rPr>
        <w:t>movements</w:t>
      </w:r>
      <w:r w:rsidR="002868AE" w:rsidRPr="001D52A0">
        <w:rPr>
          <w:rFonts w:asciiTheme="minorHAnsi" w:hAnsiTheme="minorHAnsi" w:cs="Arial"/>
          <w:sz w:val="22"/>
          <w:szCs w:val="22"/>
        </w:rPr>
        <w:t xml:space="preserve"> reflecting longer term decisions</w:t>
      </w:r>
      <w:r w:rsidR="008B0C0C" w:rsidRPr="001D52A0">
        <w:rPr>
          <w:rFonts w:asciiTheme="minorHAnsi" w:hAnsiTheme="minorHAnsi" w:cs="Arial"/>
          <w:sz w:val="22"/>
          <w:szCs w:val="22"/>
        </w:rPr>
        <w:t>.</w:t>
      </w:r>
    </w:p>
    <w:p w14:paraId="0C233F70" w14:textId="3F456FCC" w:rsidR="004D5853" w:rsidRDefault="004D5853" w:rsidP="004D5853">
      <w:pPr>
        <w:autoSpaceDE w:val="0"/>
        <w:autoSpaceDN w:val="0"/>
        <w:adjustRightInd w:val="0"/>
        <w:spacing w:before="240" w:after="120"/>
        <w:jc w:val="both"/>
        <w:rPr>
          <w:rFonts w:asciiTheme="minorHAnsi" w:hAnsiTheme="minorHAnsi" w:cs="Arial"/>
          <w:sz w:val="22"/>
          <w:szCs w:val="22"/>
        </w:rPr>
      </w:pPr>
    </w:p>
    <w:p w14:paraId="65DEC338" w14:textId="2DF41A94" w:rsidR="004D5853" w:rsidRDefault="004D5853" w:rsidP="004D5853">
      <w:pPr>
        <w:autoSpaceDE w:val="0"/>
        <w:autoSpaceDN w:val="0"/>
        <w:adjustRightInd w:val="0"/>
        <w:spacing w:before="240" w:after="120"/>
        <w:jc w:val="both"/>
        <w:rPr>
          <w:rFonts w:asciiTheme="minorHAnsi" w:hAnsiTheme="minorHAnsi" w:cs="Arial"/>
          <w:sz w:val="22"/>
          <w:szCs w:val="22"/>
        </w:rPr>
      </w:pPr>
    </w:p>
    <w:p w14:paraId="08AC7470" w14:textId="77777777" w:rsidR="004D5853" w:rsidRPr="001D52A0" w:rsidRDefault="004D5853" w:rsidP="004D5853">
      <w:pPr>
        <w:autoSpaceDE w:val="0"/>
        <w:autoSpaceDN w:val="0"/>
        <w:adjustRightInd w:val="0"/>
        <w:spacing w:before="240" w:after="120"/>
        <w:jc w:val="both"/>
        <w:rPr>
          <w:rFonts w:asciiTheme="minorHAnsi" w:hAnsiTheme="minorHAnsi" w:cs="Arial"/>
          <w:sz w:val="22"/>
          <w:szCs w:val="22"/>
        </w:rPr>
      </w:pPr>
    </w:p>
    <w:p w14:paraId="1D2A34DB" w14:textId="77777777" w:rsidR="004C7D98" w:rsidRPr="001D52A0" w:rsidRDefault="00D90F35" w:rsidP="004E4209">
      <w:pPr>
        <w:numPr>
          <w:ilvl w:val="1"/>
          <w:numId w:val="20"/>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Summary table:</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2126"/>
      </w:tblGrid>
      <w:tr w:rsidR="004C7D98" w:rsidRPr="001D52A0" w14:paraId="222BE1DB" w14:textId="77777777" w:rsidTr="00E0719B">
        <w:tc>
          <w:tcPr>
            <w:tcW w:w="3827" w:type="dxa"/>
            <w:shd w:val="clear" w:color="auto" w:fill="auto"/>
          </w:tcPr>
          <w:p w14:paraId="773A849B" w14:textId="77777777" w:rsidR="004C7D98" w:rsidRPr="001D52A0" w:rsidRDefault="004C7D98" w:rsidP="004C7D98">
            <w:pPr>
              <w:rPr>
                <w:rFonts w:asciiTheme="minorHAnsi" w:hAnsiTheme="minorHAnsi" w:cs="Arial"/>
                <w:color w:val="000000"/>
                <w:sz w:val="22"/>
                <w:szCs w:val="22"/>
                <w:lang w:eastAsia="en-GB"/>
              </w:rPr>
            </w:pPr>
          </w:p>
        </w:tc>
        <w:tc>
          <w:tcPr>
            <w:tcW w:w="2126" w:type="dxa"/>
            <w:shd w:val="clear" w:color="auto" w:fill="auto"/>
          </w:tcPr>
          <w:p w14:paraId="1AFE205A" w14:textId="77777777" w:rsidR="004C7D98" w:rsidRPr="001D52A0" w:rsidRDefault="004C7D98" w:rsidP="0020398E">
            <w:pPr>
              <w:jc w:val="right"/>
              <w:rPr>
                <w:rFonts w:asciiTheme="minorHAnsi" w:hAnsiTheme="minorHAnsi" w:cs="Arial"/>
                <w:b/>
                <w:color w:val="000000"/>
                <w:sz w:val="22"/>
                <w:szCs w:val="22"/>
                <w:lang w:eastAsia="en-GB"/>
              </w:rPr>
            </w:pPr>
            <w:r w:rsidRPr="001D52A0">
              <w:rPr>
                <w:rFonts w:asciiTheme="minorHAnsi" w:hAnsiTheme="minorHAnsi" w:cs="Arial"/>
                <w:b/>
                <w:color w:val="000000"/>
                <w:sz w:val="22"/>
                <w:szCs w:val="22"/>
                <w:lang w:eastAsia="en-GB"/>
              </w:rPr>
              <w:t>£</w:t>
            </w:r>
            <w:r w:rsidR="00B33243" w:rsidRPr="001D52A0">
              <w:rPr>
                <w:rFonts w:asciiTheme="minorHAnsi" w:hAnsiTheme="minorHAnsi" w:cs="Arial"/>
                <w:b/>
                <w:color w:val="000000"/>
                <w:sz w:val="22"/>
                <w:szCs w:val="22"/>
                <w:lang w:eastAsia="en-GB"/>
              </w:rPr>
              <w:t xml:space="preserve"> </w:t>
            </w:r>
            <w:r w:rsidRPr="001D52A0">
              <w:rPr>
                <w:rFonts w:asciiTheme="minorHAnsi" w:hAnsiTheme="minorHAnsi" w:cs="Arial"/>
                <w:b/>
                <w:color w:val="000000"/>
                <w:sz w:val="22"/>
                <w:szCs w:val="22"/>
                <w:lang w:eastAsia="en-GB"/>
              </w:rPr>
              <w:t>000’s</w:t>
            </w:r>
          </w:p>
        </w:tc>
      </w:tr>
      <w:tr w:rsidR="002A40C0" w:rsidRPr="001D52A0" w14:paraId="6A489C4F" w14:textId="77777777" w:rsidTr="00E0719B">
        <w:tc>
          <w:tcPr>
            <w:tcW w:w="3827" w:type="dxa"/>
            <w:shd w:val="clear" w:color="auto" w:fill="auto"/>
          </w:tcPr>
          <w:p w14:paraId="08845B24" w14:textId="5D051FDD" w:rsidR="002A40C0" w:rsidRPr="001D52A0" w:rsidRDefault="00B535D9" w:rsidP="00B535D9">
            <w:pP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B</w:t>
            </w:r>
            <w:r w:rsidR="002A40C0" w:rsidRPr="001D52A0">
              <w:rPr>
                <w:rFonts w:asciiTheme="minorHAnsi" w:hAnsiTheme="minorHAnsi" w:cs="Arial"/>
                <w:color w:val="000000"/>
                <w:sz w:val="22"/>
                <w:szCs w:val="22"/>
                <w:lang w:eastAsia="en-GB"/>
              </w:rPr>
              <w:t xml:space="preserve">udgeted </w:t>
            </w:r>
            <w:r w:rsidR="00D76CE4" w:rsidRPr="001D52A0">
              <w:rPr>
                <w:rFonts w:asciiTheme="minorHAnsi" w:hAnsiTheme="minorHAnsi" w:cs="Arial"/>
                <w:color w:val="000000"/>
                <w:sz w:val="22"/>
                <w:szCs w:val="22"/>
                <w:lang w:eastAsia="en-GB"/>
              </w:rPr>
              <w:t>costs/</w:t>
            </w:r>
            <w:r w:rsidR="002A40C0" w:rsidRPr="001D52A0">
              <w:rPr>
                <w:rFonts w:asciiTheme="minorHAnsi" w:hAnsiTheme="minorHAnsi" w:cs="Arial"/>
                <w:color w:val="000000"/>
                <w:sz w:val="22"/>
                <w:szCs w:val="22"/>
                <w:lang w:eastAsia="en-GB"/>
              </w:rPr>
              <w:t xml:space="preserve">levies </w:t>
            </w:r>
            <w:r w:rsidRPr="001D52A0">
              <w:rPr>
                <w:rFonts w:asciiTheme="minorHAnsi" w:hAnsiTheme="minorHAnsi" w:cs="Arial"/>
                <w:color w:val="000000"/>
                <w:sz w:val="22"/>
                <w:szCs w:val="22"/>
                <w:lang w:eastAsia="en-GB"/>
              </w:rPr>
              <w:t>2023/24</w:t>
            </w:r>
          </w:p>
        </w:tc>
        <w:tc>
          <w:tcPr>
            <w:tcW w:w="2126" w:type="dxa"/>
            <w:shd w:val="clear" w:color="auto" w:fill="auto"/>
          </w:tcPr>
          <w:p w14:paraId="58A9199E" w14:textId="7395F956" w:rsidR="002A40C0" w:rsidRPr="001D52A0" w:rsidRDefault="00AA0CB9" w:rsidP="008F6DFC">
            <w:pPr>
              <w:jc w:val="righ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6</w:t>
            </w:r>
            <w:r w:rsidR="00B535D9" w:rsidRPr="001D52A0">
              <w:rPr>
                <w:rFonts w:asciiTheme="minorHAnsi" w:hAnsiTheme="minorHAnsi" w:cs="Arial"/>
                <w:color w:val="000000"/>
                <w:sz w:val="22"/>
                <w:szCs w:val="22"/>
                <w:lang w:eastAsia="en-GB"/>
              </w:rPr>
              <w:t>7,116</w:t>
            </w:r>
          </w:p>
        </w:tc>
      </w:tr>
      <w:tr w:rsidR="004C7D98" w:rsidRPr="001D52A0" w14:paraId="493B4125" w14:textId="77777777" w:rsidTr="00E0719B">
        <w:tc>
          <w:tcPr>
            <w:tcW w:w="3827" w:type="dxa"/>
            <w:shd w:val="clear" w:color="auto" w:fill="auto"/>
          </w:tcPr>
          <w:p w14:paraId="7EA181B3" w14:textId="77777777" w:rsidR="004C7D98" w:rsidRPr="001D52A0" w:rsidRDefault="004C7D98" w:rsidP="004C7D98">
            <w:pP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Growth</w:t>
            </w:r>
          </w:p>
        </w:tc>
        <w:tc>
          <w:tcPr>
            <w:tcW w:w="2126" w:type="dxa"/>
            <w:shd w:val="clear" w:color="auto" w:fill="auto"/>
          </w:tcPr>
          <w:p w14:paraId="14F9ABA9" w14:textId="02C1D306" w:rsidR="004C7D98" w:rsidRPr="001D52A0" w:rsidRDefault="00EC001E" w:rsidP="00907DA4">
            <w:pPr>
              <w:jc w:val="righ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6,</w:t>
            </w:r>
            <w:r w:rsidR="00907DA4" w:rsidRPr="001D52A0">
              <w:rPr>
                <w:rFonts w:asciiTheme="minorHAnsi" w:hAnsiTheme="minorHAnsi" w:cs="Arial"/>
                <w:color w:val="000000"/>
                <w:sz w:val="22"/>
                <w:szCs w:val="22"/>
                <w:lang w:eastAsia="en-GB"/>
              </w:rPr>
              <w:t>719</w:t>
            </w:r>
          </w:p>
        </w:tc>
      </w:tr>
      <w:tr w:rsidR="004C7D98" w:rsidRPr="001D52A0" w14:paraId="553A3AC3" w14:textId="77777777" w:rsidTr="00E0719B">
        <w:tc>
          <w:tcPr>
            <w:tcW w:w="3827" w:type="dxa"/>
            <w:tcBorders>
              <w:bottom w:val="single" w:sz="4" w:space="0" w:color="auto"/>
            </w:tcBorders>
            <w:shd w:val="clear" w:color="auto" w:fill="auto"/>
          </w:tcPr>
          <w:p w14:paraId="013EFE9D" w14:textId="77777777" w:rsidR="004C7D98" w:rsidRPr="001D52A0" w:rsidRDefault="004C7D98" w:rsidP="004C7D98">
            <w:pP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Savings</w:t>
            </w:r>
          </w:p>
        </w:tc>
        <w:tc>
          <w:tcPr>
            <w:tcW w:w="2126" w:type="dxa"/>
            <w:shd w:val="clear" w:color="auto" w:fill="auto"/>
          </w:tcPr>
          <w:p w14:paraId="68BA7C2A" w14:textId="0417656C" w:rsidR="004C7D98" w:rsidRPr="001D52A0" w:rsidRDefault="006C488A" w:rsidP="00907DA4">
            <w:pPr>
              <w:jc w:val="righ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w:t>
            </w:r>
            <w:r w:rsidR="00C36B8D" w:rsidRPr="001D52A0">
              <w:rPr>
                <w:rFonts w:asciiTheme="minorHAnsi" w:hAnsiTheme="minorHAnsi" w:cs="Arial"/>
                <w:color w:val="000000"/>
                <w:sz w:val="22"/>
                <w:szCs w:val="22"/>
                <w:lang w:eastAsia="en-GB"/>
              </w:rPr>
              <w:t>1,</w:t>
            </w:r>
            <w:r w:rsidR="00907DA4" w:rsidRPr="001D52A0">
              <w:rPr>
                <w:rFonts w:asciiTheme="minorHAnsi" w:hAnsiTheme="minorHAnsi" w:cs="Arial"/>
                <w:color w:val="000000"/>
                <w:sz w:val="22"/>
                <w:szCs w:val="22"/>
                <w:lang w:eastAsia="en-GB"/>
              </w:rPr>
              <w:t>319</w:t>
            </w:r>
            <w:r w:rsidR="003C020A" w:rsidRPr="001D52A0">
              <w:rPr>
                <w:rFonts w:asciiTheme="minorHAnsi" w:hAnsiTheme="minorHAnsi" w:cs="Arial"/>
                <w:color w:val="000000"/>
                <w:sz w:val="22"/>
                <w:szCs w:val="22"/>
                <w:lang w:eastAsia="en-GB"/>
              </w:rPr>
              <w:t>)</w:t>
            </w:r>
          </w:p>
        </w:tc>
      </w:tr>
      <w:tr w:rsidR="004C7D98" w:rsidRPr="001D52A0" w14:paraId="2BD06C85" w14:textId="77777777" w:rsidTr="00E0719B">
        <w:tc>
          <w:tcPr>
            <w:tcW w:w="3827" w:type="dxa"/>
            <w:tcBorders>
              <w:bottom w:val="single" w:sz="4" w:space="0" w:color="auto"/>
            </w:tcBorders>
            <w:shd w:val="clear" w:color="auto" w:fill="auto"/>
          </w:tcPr>
          <w:p w14:paraId="35ED3889" w14:textId="77777777" w:rsidR="004C7D98" w:rsidRPr="001D52A0" w:rsidRDefault="004C7D98" w:rsidP="004C7D98">
            <w:pP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Other movements</w:t>
            </w:r>
          </w:p>
        </w:tc>
        <w:tc>
          <w:tcPr>
            <w:tcW w:w="2126" w:type="dxa"/>
            <w:tcBorders>
              <w:bottom w:val="single" w:sz="4" w:space="0" w:color="auto"/>
            </w:tcBorders>
            <w:shd w:val="clear" w:color="auto" w:fill="auto"/>
          </w:tcPr>
          <w:p w14:paraId="689EB69C" w14:textId="52FBA04F" w:rsidR="004C7D98" w:rsidRPr="001D52A0" w:rsidRDefault="00EC001E" w:rsidP="007369F5">
            <w:pPr>
              <w:jc w:val="righ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45</w:t>
            </w:r>
          </w:p>
        </w:tc>
      </w:tr>
      <w:tr w:rsidR="002A40C0" w:rsidRPr="001D52A0" w14:paraId="7EF5F44B" w14:textId="77777777" w:rsidTr="001D52A0">
        <w:tc>
          <w:tcPr>
            <w:tcW w:w="3827" w:type="dxa"/>
            <w:shd w:val="clear" w:color="auto" w:fill="auto"/>
          </w:tcPr>
          <w:p w14:paraId="75DFE8BB" w14:textId="7DAE96ED" w:rsidR="00996B90" w:rsidRPr="001D52A0" w:rsidRDefault="00B325B2" w:rsidP="00CB655A">
            <w:pPr>
              <w:rPr>
                <w:rFonts w:asciiTheme="minorHAnsi" w:hAnsiTheme="minorHAnsi" w:cs="Arial"/>
                <w:b/>
                <w:color w:val="000000"/>
                <w:sz w:val="22"/>
                <w:szCs w:val="22"/>
                <w:lang w:eastAsia="en-GB"/>
              </w:rPr>
            </w:pPr>
            <w:r w:rsidRPr="001D52A0">
              <w:rPr>
                <w:rFonts w:asciiTheme="minorHAnsi" w:hAnsiTheme="minorHAnsi" w:cs="Arial"/>
                <w:b/>
                <w:color w:val="000000"/>
                <w:sz w:val="22"/>
                <w:szCs w:val="22"/>
                <w:lang w:eastAsia="en-GB"/>
              </w:rPr>
              <w:t xml:space="preserve">Budgeted </w:t>
            </w:r>
            <w:r w:rsidR="00D76CE4" w:rsidRPr="001D52A0">
              <w:rPr>
                <w:rFonts w:asciiTheme="minorHAnsi" w:hAnsiTheme="minorHAnsi" w:cs="Arial"/>
                <w:b/>
                <w:color w:val="000000"/>
                <w:sz w:val="22"/>
                <w:szCs w:val="22"/>
                <w:lang w:eastAsia="en-GB"/>
              </w:rPr>
              <w:t>costs/</w:t>
            </w:r>
            <w:r w:rsidR="00AD5F57" w:rsidRPr="001D52A0">
              <w:rPr>
                <w:rFonts w:asciiTheme="minorHAnsi" w:hAnsiTheme="minorHAnsi" w:cs="Arial"/>
                <w:b/>
                <w:color w:val="000000"/>
                <w:sz w:val="22"/>
                <w:szCs w:val="22"/>
                <w:lang w:eastAsia="en-GB"/>
              </w:rPr>
              <w:t xml:space="preserve">levies </w:t>
            </w:r>
            <w:r w:rsidR="00CB655A" w:rsidRPr="001D52A0">
              <w:rPr>
                <w:rFonts w:asciiTheme="minorHAnsi" w:hAnsiTheme="minorHAnsi" w:cs="Arial"/>
                <w:b/>
                <w:color w:val="000000"/>
                <w:sz w:val="22"/>
                <w:szCs w:val="22"/>
                <w:lang w:eastAsia="en-GB"/>
              </w:rPr>
              <w:t>2024/25</w:t>
            </w:r>
          </w:p>
        </w:tc>
        <w:tc>
          <w:tcPr>
            <w:tcW w:w="2126" w:type="dxa"/>
            <w:shd w:val="clear" w:color="auto" w:fill="auto"/>
          </w:tcPr>
          <w:p w14:paraId="29F0338A" w14:textId="2C220DFE" w:rsidR="002A40C0" w:rsidRPr="001D52A0" w:rsidRDefault="00EC001E" w:rsidP="00C36B8D">
            <w:pPr>
              <w:jc w:val="right"/>
              <w:rPr>
                <w:rFonts w:asciiTheme="minorHAnsi" w:hAnsiTheme="minorHAnsi" w:cs="Arial"/>
                <w:b/>
                <w:color w:val="000000"/>
                <w:sz w:val="22"/>
                <w:szCs w:val="22"/>
                <w:lang w:eastAsia="en-GB"/>
              </w:rPr>
            </w:pPr>
            <w:r w:rsidRPr="001D52A0">
              <w:rPr>
                <w:rFonts w:asciiTheme="minorHAnsi" w:hAnsiTheme="minorHAnsi" w:cs="Arial"/>
                <w:b/>
                <w:color w:val="000000"/>
                <w:sz w:val="22"/>
                <w:szCs w:val="22"/>
                <w:lang w:eastAsia="en-GB"/>
              </w:rPr>
              <w:t>72,5</w:t>
            </w:r>
            <w:r w:rsidR="009F3364" w:rsidRPr="001D52A0">
              <w:rPr>
                <w:rFonts w:asciiTheme="minorHAnsi" w:hAnsiTheme="minorHAnsi" w:cs="Arial"/>
                <w:b/>
                <w:color w:val="000000"/>
                <w:sz w:val="22"/>
                <w:szCs w:val="22"/>
                <w:lang w:eastAsia="en-GB"/>
              </w:rPr>
              <w:t>61</w:t>
            </w:r>
          </w:p>
        </w:tc>
      </w:tr>
    </w:tbl>
    <w:p w14:paraId="1DCD5D85" w14:textId="77777777" w:rsidR="001D52A0" w:rsidRPr="001D52A0" w:rsidRDefault="001D52A0" w:rsidP="001D52A0">
      <w:pPr>
        <w:autoSpaceDE w:val="0"/>
        <w:autoSpaceDN w:val="0"/>
        <w:adjustRightInd w:val="0"/>
        <w:spacing w:before="240" w:after="120"/>
        <w:ind w:left="465"/>
        <w:jc w:val="both"/>
        <w:rPr>
          <w:rFonts w:asciiTheme="minorHAnsi" w:hAnsiTheme="minorHAnsi" w:cs="Arial"/>
          <w:sz w:val="22"/>
          <w:szCs w:val="22"/>
        </w:rPr>
      </w:pPr>
    </w:p>
    <w:p w14:paraId="3CA9E62B" w14:textId="7FA2A629" w:rsidR="00252D57" w:rsidRPr="001D52A0" w:rsidRDefault="00E04256" w:rsidP="001D52A0">
      <w:pPr>
        <w:numPr>
          <w:ilvl w:val="1"/>
          <w:numId w:val="20"/>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G</w:t>
      </w:r>
      <w:r w:rsidR="00D90F35" w:rsidRPr="001D52A0">
        <w:rPr>
          <w:rFonts w:asciiTheme="minorHAnsi" w:hAnsiTheme="minorHAnsi" w:cs="Arial"/>
          <w:sz w:val="22"/>
          <w:szCs w:val="22"/>
        </w:rPr>
        <w:t>rowth table:</w:t>
      </w:r>
    </w:p>
    <w:tbl>
      <w:tblPr>
        <w:tblW w:w="8930" w:type="dxa"/>
        <w:tblInd w:w="1101" w:type="dxa"/>
        <w:tblLook w:val="04A0" w:firstRow="1" w:lastRow="0" w:firstColumn="1" w:lastColumn="0" w:noHBand="0" w:noVBand="1"/>
      </w:tblPr>
      <w:tblGrid>
        <w:gridCol w:w="1452"/>
        <w:gridCol w:w="6063"/>
        <w:gridCol w:w="1415"/>
      </w:tblGrid>
      <w:tr w:rsidR="00252D57" w:rsidRPr="001D52A0" w14:paraId="15CB2630" w14:textId="77777777" w:rsidTr="000332F1">
        <w:trPr>
          <w:trHeight w:val="315"/>
        </w:trPr>
        <w:tc>
          <w:tcPr>
            <w:tcW w:w="14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EFE273" w14:textId="77777777" w:rsidR="00252D57" w:rsidRPr="001D52A0" w:rsidRDefault="00252D57" w:rsidP="000332F1">
            <w:pPr>
              <w:jc w:val="center"/>
              <w:rPr>
                <w:rFonts w:asciiTheme="minorHAnsi" w:hAnsiTheme="minorHAnsi" w:cs="Arial"/>
                <w:b/>
                <w:bCs/>
                <w:color w:val="000000"/>
                <w:sz w:val="22"/>
                <w:szCs w:val="22"/>
                <w:lang w:eastAsia="en-GB"/>
              </w:rPr>
            </w:pPr>
            <w:r w:rsidRPr="001D52A0">
              <w:rPr>
                <w:rFonts w:asciiTheme="minorHAnsi" w:hAnsiTheme="minorHAnsi" w:cs="Arial"/>
                <w:b/>
                <w:bCs/>
                <w:color w:val="000000"/>
                <w:sz w:val="22"/>
                <w:szCs w:val="22"/>
                <w:lang w:eastAsia="en-GB"/>
              </w:rPr>
              <w:t>Area</w:t>
            </w:r>
          </w:p>
        </w:tc>
        <w:tc>
          <w:tcPr>
            <w:tcW w:w="6063" w:type="dxa"/>
            <w:tcBorders>
              <w:top w:val="single" w:sz="8" w:space="0" w:color="auto"/>
              <w:left w:val="nil"/>
              <w:bottom w:val="single" w:sz="8" w:space="0" w:color="auto"/>
              <w:right w:val="single" w:sz="8" w:space="0" w:color="auto"/>
            </w:tcBorders>
            <w:shd w:val="clear" w:color="auto" w:fill="auto"/>
            <w:vAlign w:val="center"/>
            <w:hideMark/>
          </w:tcPr>
          <w:p w14:paraId="79CF4604" w14:textId="77777777" w:rsidR="00252D57" w:rsidRPr="001D52A0" w:rsidRDefault="00252D57" w:rsidP="000332F1">
            <w:pPr>
              <w:jc w:val="center"/>
              <w:rPr>
                <w:rFonts w:asciiTheme="minorHAnsi" w:hAnsiTheme="minorHAnsi" w:cs="Arial"/>
                <w:b/>
                <w:bCs/>
                <w:color w:val="000000"/>
                <w:sz w:val="22"/>
                <w:szCs w:val="22"/>
                <w:lang w:eastAsia="en-GB"/>
              </w:rPr>
            </w:pPr>
            <w:r w:rsidRPr="001D52A0">
              <w:rPr>
                <w:rFonts w:asciiTheme="minorHAnsi" w:hAnsiTheme="minorHAnsi" w:cs="Arial"/>
                <w:b/>
                <w:bCs/>
                <w:color w:val="000000"/>
                <w:sz w:val="22"/>
                <w:szCs w:val="22"/>
                <w:lang w:eastAsia="en-GB"/>
              </w:rPr>
              <w:t>Explanation</w:t>
            </w:r>
          </w:p>
        </w:tc>
        <w:tc>
          <w:tcPr>
            <w:tcW w:w="1415" w:type="dxa"/>
            <w:tcBorders>
              <w:top w:val="single" w:sz="8" w:space="0" w:color="auto"/>
              <w:left w:val="nil"/>
              <w:bottom w:val="single" w:sz="8" w:space="0" w:color="auto"/>
              <w:right w:val="single" w:sz="4" w:space="0" w:color="auto"/>
            </w:tcBorders>
            <w:vAlign w:val="center"/>
          </w:tcPr>
          <w:p w14:paraId="1FBE0B67" w14:textId="77777777" w:rsidR="00252D57" w:rsidRPr="001D52A0" w:rsidRDefault="00252D57" w:rsidP="000332F1">
            <w:pPr>
              <w:jc w:val="right"/>
              <w:rPr>
                <w:rFonts w:asciiTheme="minorHAnsi" w:hAnsiTheme="minorHAnsi" w:cs="Arial"/>
                <w:b/>
                <w:bCs/>
                <w:color w:val="000000"/>
                <w:sz w:val="22"/>
                <w:szCs w:val="22"/>
                <w:lang w:eastAsia="en-GB"/>
              </w:rPr>
            </w:pPr>
            <w:r w:rsidRPr="001D52A0">
              <w:rPr>
                <w:rFonts w:asciiTheme="minorHAnsi" w:hAnsiTheme="minorHAnsi" w:cs="Arial"/>
                <w:b/>
                <w:bCs/>
                <w:color w:val="000000"/>
                <w:sz w:val="22"/>
                <w:szCs w:val="22"/>
                <w:lang w:eastAsia="en-GB"/>
              </w:rPr>
              <w:t xml:space="preserve">Growth </w:t>
            </w:r>
          </w:p>
          <w:p w14:paraId="58C8434F" w14:textId="77777777" w:rsidR="00252D57" w:rsidRPr="001D52A0" w:rsidRDefault="00252D57" w:rsidP="000332F1">
            <w:pPr>
              <w:jc w:val="right"/>
              <w:rPr>
                <w:rFonts w:asciiTheme="minorHAnsi" w:hAnsiTheme="minorHAnsi" w:cs="Arial"/>
                <w:b/>
                <w:bCs/>
                <w:color w:val="000000"/>
                <w:sz w:val="22"/>
                <w:szCs w:val="22"/>
                <w:lang w:eastAsia="en-GB"/>
              </w:rPr>
            </w:pPr>
            <w:r w:rsidRPr="001D52A0">
              <w:rPr>
                <w:rFonts w:asciiTheme="minorHAnsi" w:hAnsiTheme="minorHAnsi" w:cs="Arial"/>
                <w:b/>
                <w:bCs/>
                <w:color w:val="000000"/>
                <w:sz w:val="22"/>
                <w:szCs w:val="22"/>
                <w:lang w:eastAsia="en-GB"/>
              </w:rPr>
              <w:t>£ 000’s</w:t>
            </w:r>
          </w:p>
        </w:tc>
      </w:tr>
      <w:tr w:rsidR="00252D57" w:rsidRPr="001D52A0" w14:paraId="58561248" w14:textId="77777777" w:rsidTr="000332F1">
        <w:trPr>
          <w:trHeight w:val="1155"/>
        </w:trPr>
        <w:tc>
          <w:tcPr>
            <w:tcW w:w="1452" w:type="dxa"/>
            <w:tcBorders>
              <w:top w:val="nil"/>
              <w:left w:val="single" w:sz="8" w:space="0" w:color="auto"/>
              <w:bottom w:val="single" w:sz="4" w:space="0" w:color="auto"/>
              <w:right w:val="single" w:sz="8" w:space="0" w:color="auto"/>
            </w:tcBorders>
            <w:shd w:val="clear" w:color="auto" w:fill="auto"/>
            <w:vAlign w:val="center"/>
          </w:tcPr>
          <w:p w14:paraId="2D84B5E9" w14:textId="77777777" w:rsidR="00252D57" w:rsidRPr="001D52A0" w:rsidRDefault="00252D57" w:rsidP="000332F1">
            <w:pP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Waste Transport and Disposal</w:t>
            </w:r>
          </w:p>
        </w:tc>
        <w:tc>
          <w:tcPr>
            <w:tcW w:w="6063" w:type="dxa"/>
            <w:tcBorders>
              <w:top w:val="nil"/>
              <w:left w:val="nil"/>
              <w:bottom w:val="single" w:sz="4" w:space="0" w:color="auto"/>
              <w:right w:val="single" w:sz="8" w:space="0" w:color="auto"/>
            </w:tcBorders>
            <w:shd w:val="clear" w:color="auto" w:fill="auto"/>
            <w:vAlign w:val="center"/>
          </w:tcPr>
          <w:p w14:paraId="57438781" w14:textId="022368F6" w:rsidR="00252D57" w:rsidRPr="001D52A0" w:rsidRDefault="00B004E0" w:rsidP="00FD792E">
            <w:pP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Increased contract costs resulting from inflation for residual waste (£1.9 million), haulage (£</w:t>
            </w:r>
            <w:r w:rsidR="00106AA7" w:rsidRPr="001D52A0">
              <w:rPr>
                <w:rFonts w:asciiTheme="minorHAnsi" w:hAnsiTheme="minorHAnsi" w:cs="Arial"/>
                <w:color w:val="000000"/>
                <w:sz w:val="22"/>
                <w:szCs w:val="22"/>
                <w:lang w:eastAsia="en-GB"/>
              </w:rPr>
              <w:t xml:space="preserve">150,000) </w:t>
            </w:r>
            <w:r w:rsidRPr="001D52A0">
              <w:rPr>
                <w:rFonts w:asciiTheme="minorHAnsi" w:hAnsiTheme="minorHAnsi" w:cs="Arial"/>
                <w:color w:val="000000"/>
                <w:sz w:val="22"/>
                <w:szCs w:val="22"/>
                <w:lang w:eastAsia="en-GB"/>
              </w:rPr>
              <w:t>increase in mattress tonnages (£</w:t>
            </w:r>
            <w:r w:rsidR="00106AA7" w:rsidRPr="001D52A0">
              <w:rPr>
                <w:rFonts w:asciiTheme="minorHAnsi" w:hAnsiTheme="minorHAnsi" w:cs="Arial"/>
                <w:color w:val="000000"/>
                <w:sz w:val="22"/>
                <w:szCs w:val="22"/>
                <w:lang w:eastAsia="en-GB"/>
              </w:rPr>
              <w:t>400,000</w:t>
            </w:r>
            <w:r w:rsidRPr="001D52A0">
              <w:rPr>
                <w:rFonts w:asciiTheme="minorHAnsi" w:hAnsiTheme="minorHAnsi" w:cs="Arial"/>
                <w:color w:val="000000"/>
                <w:sz w:val="22"/>
                <w:szCs w:val="22"/>
                <w:lang w:eastAsia="en-GB"/>
              </w:rPr>
              <w:t>)</w:t>
            </w:r>
            <w:r w:rsidRPr="001D52A0">
              <w:rPr>
                <w:rFonts w:asciiTheme="minorHAnsi" w:hAnsiTheme="minorHAnsi" w:cs="Arial"/>
                <w:color w:val="000000"/>
                <w:sz w:val="22"/>
                <w:szCs w:val="22"/>
                <w:lang w:val="en-US" w:eastAsia="en-GB"/>
              </w:rPr>
              <w:t>, increase in green tonnages (£</w:t>
            </w:r>
            <w:r w:rsidR="00106AA7" w:rsidRPr="001D52A0">
              <w:rPr>
                <w:rFonts w:asciiTheme="minorHAnsi" w:hAnsiTheme="minorHAnsi" w:cs="Arial"/>
                <w:color w:val="000000"/>
                <w:sz w:val="22"/>
                <w:szCs w:val="22"/>
                <w:lang w:val="en-US" w:eastAsia="en-GB"/>
              </w:rPr>
              <w:t>600,000</w:t>
            </w:r>
            <w:r w:rsidRPr="001D52A0">
              <w:rPr>
                <w:rFonts w:asciiTheme="minorHAnsi" w:hAnsiTheme="minorHAnsi" w:cs="Arial"/>
                <w:color w:val="000000"/>
                <w:sz w:val="22"/>
                <w:szCs w:val="22"/>
                <w:lang w:val="en-US" w:eastAsia="en-GB"/>
              </w:rPr>
              <w:t>), increase in rubble tonnages (£</w:t>
            </w:r>
            <w:r w:rsidR="00FD792E" w:rsidRPr="001D52A0">
              <w:rPr>
                <w:rFonts w:asciiTheme="minorHAnsi" w:hAnsiTheme="minorHAnsi" w:cs="Arial"/>
                <w:color w:val="000000"/>
                <w:sz w:val="22"/>
                <w:szCs w:val="22"/>
                <w:lang w:val="en-US" w:eastAsia="en-GB"/>
              </w:rPr>
              <w:t>150</w:t>
            </w:r>
            <w:r w:rsidR="00106AA7" w:rsidRPr="001D52A0">
              <w:rPr>
                <w:rFonts w:asciiTheme="minorHAnsi" w:hAnsiTheme="minorHAnsi" w:cs="Arial"/>
                <w:color w:val="000000"/>
                <w:sz w:val="22"/>
                <w:szCs w:val="22"/>
                <w:lang w:val="en-US" w:eastAsia="en-GB"/>
              </w:rPr>
              <w:t>,000</w:t>
            </w:r>
            <w:r w:rsidRPr="001D52A0">
              <w:rPr>
                <w:rFonts w:asciiTheme="minorHAnsi" w:hAnsiTheme="minorHAnsi" w:cs="Arial"/>
                <w:color w:val="000000"/>
                <w:sz w:val="22"/>
                <w:szCs w:val="22"/>
                <w:lang w:val="en-US" w:eastAsia="en-GB"/>
              </w:rPr>
              <w:t>), increase in wood (£</w:t>
            </w:r>
            <w:r w:rsidR="00106AA7" w:rsidRPr="001D52A0">
              <w:rPr>
                <w:rFonts w:asciiTheme="minorHAnsi" w:hAnsiTheme="minorHAnsi" w:cs="Arial"/>
                <w:color w:val="000000"/>
                <w:sz w:val="22"/>
                <w:szCs w:val="22"/>
                <w:lang w:val="en-US" w:eastAsia="en-GB"/>
              </w:rPr>
              <w:t>200,000</w:t>
            </w:r>
            <w:r w:rsidRPr="001D52A0">
              <w:rPr>
                <w:rFonts w:asciiTheme="minorHAnsi" w:hAnsiTheme="minorHAnsi" w:cs="Arial"/>
                <w:color w:val="000000"/>
                <w:sz w:val="22"/>
                <w:szCs w:val="22"/>
                <w:lang w:val="en-US" w:eastAsia="en-GB"/>
              </w:rPr>
              <w:t xml:space="preserve">), </w:t>
            </w:r>
            <w:r w:rsidRPr="001D52A0">
              <w:rPr>
                <w:rFonts w:asciiTheme="minorHAnsi" w:hAnsiTheme="minorHAnsi" w:cs="Arial"/>
                <w:color w:val="000000"/>
                <w:sz w:val="22"/>
                <w:szCs w:val="22"/>
                <w:lang w:eastAsia="en-GB"/>
              </w:rPr>
              <w:t>and a range of movements in other materials spends (£</w:t>
            </w:r>
            <w:r w:rsidR="00106AA7" w:rsidRPr="001D52A0">
              <w:rPr>
                <w:rFonts w:asciiTheme="minorHAnsi" w:hAnsiTheme="minorHAnsi" w:cs="Arial"/>
                <w:color w:val="000000"/>
                <w:sz w:val="22"/>
                <w:szCs w:val="22"/>
                <w:lang w:eastAsia="en-GB"/>
              </w:rPr>
              <w:t>160,000</w:t>
            </w:r>
            <w:r w:rsidRPr="001D52A0">
              <w:rPr>
                <w:rFonts w:asciiTheme="minorHAnsi" w:hAnsiTheme="minorHAnsi" w:cs="Arial"/>
                <w:color w:val="000000"/>
                <w:sz w:val="22"/>
                <w:szCs w:val="22"/>
                <w:lang w:eastAsia="en-GB"/>
              </w:rPr>
              <w:t>)</w:t>
            </w:r>
          </w:p>
        </w:tc>
        <w:tc>
          <w:tcPr>
            <w:tcW w:w="1415" w:type="dxa"/>
            <w:tcBorders>
              <w:top w:val="nil"/>
              <w:left w:val="nil"/>
              <w:bottom w:val="single" w:sz="4" w:space="0" w:color="auto"/>
              <w:right w:val="single" w:sz="4" w:space="0" w:color="auto"/>
            </w:tcBorders>
            <w:vAlign w:val="center"/>
          </w:tcPr>
          <w:p w14:paraId="54B2543A" w14:textId="2B64A129" w:rsidR="00252D57" w:rsidRPr="001D52A0" w:rsidRDefault="00D03E6D" w:rsidP="00EC001E">
            <w:pPr>
              <w:jc w:val="righ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3,607</w:t>
            </w:r>
          </w:p>
        </w:tc>
      </w:tr>
      <w:tr w:rsidR="00252D57" w:rsidRPr="001D52A0" w14:paraId="3281D545" w14:textId="77777777" w:rsidTr="000332F1">
        <w:trPr>
          <w:trHeight w:val="1155"/>
        </w:trPr>
        <w:tc>
          <w:tcPr>
            <w:tcW w:w="1452" w:type="dxa"/>
            <w:tcBorders>
              <w:top w:val="nil"/>
              <w:left w:val="single" w:sz="8" w:space="0" w:color="auto"/>
              <w:bottom w:val="single" w:sz="4" w:space="0" w:color="auto"/>
              <w:right w:val="single" w:sz="8" w:space="0" w:color="auto"/>
            </w:tcBorders>
            <w:shd w:val="clear" w:color="auto" w:fill="auto"/>
            <w:vAlign w:val="center"/>
          </w:tcPr>
          <w:p w14:paraId="79082C7E" w14:textId="77777777" w:rsidR="00252D57" w:rsidRPr="001D52A0" w:rsidRDefault="00252D57" w:rsidP="000332F1">
            <w:pP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Premises</w:t>
            </w:r>
          </w:p>
        </w:tc>
        <w:tc>
          <w:tcPr>
            <w:tcW w:w="6063" w:type="dxa"/>
            <w:tcBorders>
              <w:top w:val="nil"/>
              <w:left w:val="nil"/>
              <w:bottom w:val="single" w:sz="4" w:space="0" w:color="auto"/>
              <w:right w:val="single" w:sz="8" w:space="0" w:color="auto"/>
            </w:tcBorders>
            <w:shd w:val="clear" w:color="auto" w:fill="auto"/>
            <w:vAlign w:val="center"/>
          </w:tcPr>
          <w:p w14:paraId="499FE3E5" w14:textId="5FF8FF08" w:rsidR="00252D57" w:rsidRPr="001D52A0" w:rsidRDefault="00B004E0" w:rsidP="003A281C">
            <w:pP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Increase in business rates (£1.1 million)</w:t>
            </w:r>
          </w:p>
        </w:tc>
        <w:tc>
          <w:tcPr>
            <w:tcW w:w="1415" w:type="dxa"/>
            <w:tcBorders>
              <w:top w:val="nil"/>
              <w:left w:val="nil"/>
              <w:bottom w:val="single" w:sz="4" w:space="0" w:color="auto"/>
              <w:right w:val="single" w:sz="4" w:space="0" w:color="auto"/>
            </w:tcBorders>
            <w:vAlign w:val="center"/>
          </w:tcPr>
          <w:p w14:paraId="15F6A76E" w14:textId="3093B6C1" w:rsidR="00252D57" w:rsidRPr="001D52A0" w:rsidRDefault="00EC001E" w:rsidP="00EC001E">
            <w:pPr>
              <w:jc w:val="righ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1,1</w:t>
            </w:r>
            <w:r w:rsidR="00106AA7" w:rsidRPr="001D52A0">
              <w:rPr>
                <w:rFonts w:asciiTheme="minorHAnsi" w:hAnsiTheme="minorHAnsi" w:cs="Arial"/>
                <w:color w:val="000000"/>
                <w:sz w:val="22"/>
                <w:szCs w:val="22"/>
                <w:lang w:eastAsia="en-GB"/>
              </w:rPr>
              <w:t>46</w:t>
            </w:r>
          </w:p>
        </w:tc>
      </w:tr>
      <w:tr w:rsidR="00673710" w:rsidRPr="001D52A0" w14:paraId="57E0A7AC" w14:textId="77777777" w:rsidTr="000332F1">
        <w:trPr>
          <w:trHeight w:val="1155"/>
        </w:trPr>
        <w:tc>
          <w:tcPr>
            <w:tcW w:w="1452" w:type="dxa"/>
            <w:tcBorders>
              <w:top w:val="nil"/>
              <w:left w:val="single" w:sz="8" w:space="0" w:color="auto"/>
              <w:bottom w:val="single" w:sz="4" w:space="0" w:color="auto"/>
              <w:right w:val="single" w:sz="8" w:space="0" w:color="auto"/>
            </w:tcBorders>
            <w:shd w:val="clear" w:color="auto" w:fill="auto"/>
            <w:vAlign w:val="center"/>
          </w:tcPr>
          <w:p w14:paraId="39DF7549" w14:textId="6EC67112" w:rsidR="00673710" w:rsidRPr="001D52A0" w:rsidRDefault="00673710" w:rsidP="00673710">
            <w:pP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Employees</w:t>
            </w:r>
          </w:p>
        </w:tc>
        <w:tc>
          <w:tcPr>
            <w:tcW w:w="6063" w:type="dxa"/>
            <w:tcBorders>
              <w:top w:val="nil"/>
              <w:left w:val="nil"/>
              <w:bottom w:val="single" w:sz="4" w:space="0" w:color="auto"/>
              <w:right w:val="single" w:sz="8" w:space="0" w:color="auto"/>
            </w:tcBorders>
            <w:shd w:val="clear" w:color="auto" w:fill="auto"/>
            <w:vAlign w:val="center"/>
          </w:tcPr>
          <w:p w14:paraId="4CA3345B" w14:textId="2231E139" w:rsidR="00673710" w:rsidRPr="001D52A0" w:rsidRDefault="00673710" w:rsidP="005F5016">
            <w:pP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 xml:space="preserve">Salary base rate for FY23/24 has a 4% NJC proposal uplift applied (£100,000), salary for 2024/25 has 5% uplift applied (£150,000), new staffing requirements </w:t>
            </w:r>
            <w:r w:rsidR="00A73C72" w:rsidRPr="001D52A0">
              <w:rPr>
                <w:rFonts w:asciiTheme="minorHAnsi" w:hAnsiTheme="minorHAnsi" w:cs="Arial"/>
                <w:color w:val="000000"/>
                <w:sz w:val="22"/>
                <w:szCs w:val="22"/>
                <w:lang w:eastAsia="en-GB"/>
              </w:rPr>
              <w:t>and internal promo</w:t>
            </w:r>
            <w:r w:rsidR="005F5016" w:rsidRPr="001D52A0">
              <w:rPr>
                <w:rFonts w:asciiTheme="minorHAnsi" w:hAnsiTheme="minorHAnsi" w:cs="Arial"/>
                <w:color w:val="000000"/>
                <w:sz w:val="22"/>
                <w:szCs w:val="22"/>
                <w:lang w:eastAsia="en-GB"/>
              </w:rPr>
              <w:t>tions (£135</w:t>
            </w:r>
            <w:r w:rsidRPr="001D52A0">
              <w:rPr>
                <w:rFonts w:asciiTheme="minorHAnsi" w:hAnsiTheme="minorHAnsi" w:cs="Arial"/>
                <w:color w:val="000000"/>
                <w:sz w:val="22"/>
                <w:szCs w:val="22"/>
                <w:lang w:eastAsia="en-GB"/>
              </w:rPr>
              <w:t>,000)</w:t>
            </w:r>
          </w:p>
        </w:tc>
        <w:tc>
          <w:tcPr>
            <w:tcW w:w="1415" w:type="dxa"/>
            <w:tcBorders>
              <w:top w:val="nil"/>
              <w:left w:val="nil"/>
              <w:bottom w:val="single" w:sz="4" w:space="0" w:color="auto"/>
              <w:right w:val="single" w:sz="4" w:space="0" w:color="auto"/>
            </w:tcBorders>
            <w:vAlign w:val="center"/>
          </w:tcPr>
          <w:p w14:paraId="2C1C61CC" w14:textId="6B67C892" w:rsidR="00673710" w:rsidRPr="001D52A0" w:rsidRDefault="005F5016" w:rsidP="00673710">
            <w:pPr>
              <w:jc w:val="righ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385</w:t>
            </w:r>
          </w:p>
        </w:tc>
      </w:tr>
      <w:tr w:rsidR="00252D57" w:rsidRPr="001D52A0" w14:paraId="31E9B4D0" w14:textId="77777777" w:rsidTr="000332F1">
        <w:trPr>
          <w:trHeight w:val="1155"/>
        </w:trPr>
        <w:tc>
          <w:tcPr>
            <w:tcW w:w="1452" w:type="dxa"/>
            <w:tcBorders>
              <w:top w:val="single" w:sz="4" w:space="0" w:color="auto"/>
              <w:left w:val="single" w:sz="8" w:space="0" w:color="auto"/>
              <w:bottom w:val="single" w:sz="4" w:space="0" w:color="auto"/>
              <w:right w:val="single" w:sz="8" w:space="0" w:color="auto"/>
            </w:tcBorders>
            <w:shd w:val="clear" w:color="auto" w:fill="auto"/>
            <w:vAlign w:val="center"/>
          </w:tcPr>
          <w:p w14:paraId="608D6625" w14:textId="77777777" w:rsidR="00252D57" w:rsidRPr="001D52A0" w:rsidRDefault="00252D57" w:rsidP="000332F1">
            <w:pP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Supplies and Services</w:t>
            </w:r>
          </w:p>
        </w:tc>
        <w:tc>
          <w:tcPr>
            <w:tcW w:w="6063" w:type="dxa"/>
            <w:tcBorders>
              <w:top w:val="single" w:sz="4" w:space="0" w:color="auto"/>
              <w:left w:val="nil"/>
              <w:bottom w:val="single" w:sz="4" w:space="0" w:color="auto"/>
              <w:right w:val="single" w:sz="8" w:space="0" w:color="auto"/>
            </w:tcBorders>
            <w:shd w:val="clear" w:color="auto" w:fill="auto"/>
            <w:vAlign w:val="center"/>
          </w:tcPr>
          <w:p w14:paraId="2B949287" w14:textId="31BAA1AF" w:rsidR="00252D57" w:rsidRPr="001D52A0" w:rsidRDefault="00106AA7" w:rsidP="009F3364">
            <w:pPr>
              <w:rPr>
                <w:rFonts w:asciiTheme="minorHAnsi" w:hAnsiTheme="minorHAnsi" w:cs="Arial"/>
                <w:color w:val="000000"/>
                <w:sz w:val="22"/>
                <w:szCs w:val="22"/>
                <w:lang w:val="en-US" w:eastAsia="en-GB"/>
              </w:rPr>
            </w:pPr>
            <w:r w:rsidRPr="001D52A0">
              <w:rPr>
                <w:rFonts w:asciiTheme="minorHAnsi" w:hAnsiTheme="minorHAnsi" w:cs="Arial"/>
                <w:color w:val="000000"/>
                <w:sz w:val="22"/>
                <w:szCs w:val="22"/>
                <w:lang w:eastAsia="en-GB"/>
              </w:rPr>
              <w:t>WLER insurance premium (£1.2 million), leasing of equipment at Abbey Road (£189,000), bin washing and pen stock valve increase (£70,000), outsourcing MI work for Programs (£80,000</w:t>
            </w:r>
            <w:r w:rsidR="003C020A" w:rsidRPr="001D52A0">
              <w:rPr>
                <w:rFonts w:asciiTheme="minorHAnsi" w:hAnsiTheme="minorHAnsi" w:cs="Arial"/>
                <w:color w:val="000000"/>
                <w:sz w:val="22"/>
                <w:szCs w:val="22"/>
                <w:lang w:eastAsia="en-GB"/>
              </w:rPr>
              <w:t>)</w:t>
            </w:r>
            <w:r w:rsidR="00A73C72" w:rsidRPr="001D52A0">
              <w:rPr>
                <w:rFonts w:asciiTheme="minorHAnsi" w:hAnsiTheme="minorHAnsi" w:cs="Arial"/>
                <w:color w:val="000000"/>
                <w:sz w:val="22"/>
                <w:szCs w:val="22"/>
                <w:lang w:eastAsia="en-GB"/>
              </w:rPr>
              <w:t>, maintenance of equipment (£15,000</w:t>
            </w:r>
            <w:r w:rsidR="009F3364" w:rsidRPr="001D52A0">
              <w:rPr>
                <w:rFonts w:asciiTheme="minorHAnsi" w:hAnsiTheme="minorHAnsi" w:cs="Arial"/>
                <w:color w:val="000000"/>
                <w:sz w:val="22"/>
                <w:szCs w:val="22"/>
                <w:lang w:eastAsia="en-GB"/>
              </w:rPr>
              <w:t>)</w:t>
            </w:r>
            <w:r w:rsidR="00907DA4" w:rsidRPr="001D52A0">
              <w:rPr>
                <w:rFonts w:asciiTheme="minorHAnsi" w:hAnsiTheme="minorHAnsi" w:cs="Arial"/>
                <w:color w:val="000000"/>
                <w:sz w:val="22"/>
                <w:szCs w:val="22"/>
                <w:lang w:eastAsia="en-GB"/>
              </w:rPr>
              <w:t>, increase in bank costs (£8,000), inflationary increases on contracts (£20,000)</w:t>
            </w:r>
          </w:p>
        </w:tc>
        <w:tc>
          <w:tcPr>
            <w:tcW w:w="1415" w:type="dxa"/>
            <w:tcBorders>
              <w:top w:val="single" w:sz="4" w:space="0" w:color="auto"/>
              <w:left w:val="nil"/>
              <w:bottom w:val="single" w:sz="4" w:space="0" w:color="auto"/>
              <w:right w:val="single" w:sz="4" w:space="0" w:color="auto"/>
            </w:tcBorders>
            <w:vAlign w:val="center"/>
          </w:tcPr>
          <w:p w14:paraId="7DC60CE5" w14:textId="081CBC3A" w:rsidR="00252D57" w:rsidRPr="001D52A0" w:rsidRDefault="00EC001E" w:rsidP="009C1A2D">
            <w:pPr>
              <w:jc w:val="righ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1,</w:t>
            </w:r>
            <w:r w:rsidR="003C020A" w:rsidRPr="001D52A0">
              <w:rPr>
                <w:rFonts w:asciiTheme="minorHAnsi" w:hAnsiTheme="minorHAnsi" w:cs="Arial"/>
                <w:color w:val="000000"/>
                <w:sz w:val="22"/>
                <w:szCs w:val="22"/>
                <w:lang w:eastAsia="en-GB"/>
              </w:rPr>
              <w:t>5</w:t>
            </w:r>
            <w:r w:rsidR="009C1A2D" w:rsidRPr="001D52A0">
              <w:rPr>
                <w:rFonts w:asciiTheme="minorHAnsi" w:hAnsiTheme="minorHAnsi" w:cs="Arial"/>
                <w:color w:val="000000"/>
                <w:sz w:val="22"/>
                <w:szCs w:val="22"/>
                <w:lang w:eastAsia="en-GB"/>
              </w:rPr>
              <w:t>81</w:t>
            </w:r>
          </w:p>
        </w:tc>
      </w:tr>
      <w:tr w:rsidR="00252D57" w:rsidRPr="001D52A0" w14:paraId="52D02AD5" w14:textId="77777777" w:rsidTr="000332F1">
        <w:trPr>
          <w:trHeight w:val="533"/>
        </w:trPr>
        <w:tc>
          <w:tcPr>
            <w:tcW w:w="1452" w:type="dxa"/>
            <w:tcBorders>
              <w:top w:val="single" w:sz="4" w:space="0" w:color="auto"/>
            </w:tcBorders>
            <w:shd w:val="clear" w:color="auto" w:fill="auto"/>
            <w:vAlign w:val="center"/>
          </w:tcPr>
          <w:p w14:paraId="6DCA60B5" w14:textId="77777777" w:rsidR="00252D57" w:rsidRPr="001D52A0" w:rsidRDefault="00252D57" w:rsidP="000332F1">
            <w:pPr>
              <w:rPr>
                <w:rFonts w:asciiTheme="minorHAnsi" w:hAnsiTheme="minorHAnsi" w:cs="Arial"/>
                <w:color w:val="000000"/>
                <w:sz w:val="22"/>
                <w:szCs w:val="22"/>
                <w:lang w:eastAsia="en-GB"/>
              </w:rPr>
            </w:pPr>
          </w:p>
        </w:tc>
        <w:tc>
          <w:tcPr>
            <w:tcW w:w="6063" w:type="dxa"/>
            <w:tcBorders>
              <w:top w:val="single" w:sz="4" w:space="0" w:color="auto"/>
              <w:right w:val="single" w:sz="4" w:space="0" w:color="auto"/>
            </w:tcBorders>
            <w:shd w:val="clear" w:color="auto" w:fill="auto"/>
            <w:vAlign w:val="center"/>
          </w:tcPr>
          <w:p w14:paraId="07ECF518" w14:textId="77777777" w:rsidR="00252D57" w:rsidRPr="001D52A0" w:rsidRDefault="00252D57" w:rsidP="000332F1">
            <w:pPr>
              <w:rPr>
                <w:rFonts w:asciiTheme="minorHAnsi" w:hAnsiTheme="minorHAnsi" w:cs="Arial"/>
                <w:color w:val="000000"/>
                <w:sz w:val="22"/>
                <w:szCs w:val="22"/>
                <w:lang w:eastAsia="en-GB"/>
              </w:rPr>
            </w:pPr>
          </w:p>
        </w:tc>
        <w:tc>
          <w:tcPr>
            <w:tcW w:w="1415" w:type="dxa"/>
            <w:tcBorders>
              <w:top w:val="single" w:sz="4" w:space="0" w:color="auto"/>
              <w:left w:val="single" w:sz="4" w:space="0" w:color="auto"/>
              <w:bottom w:val="single" w:sz="4" w:space="0" w:color="auto"/>
              <w:right w:val="single" w:sz="4" w:space="0" w:color="auto"/>
            </w:tcBorders>
            <w:vAlign w:val="center"/>
          </w:tcPr>
          <w:p w14:paraId="28835E94" w14:textId="781E23C9" w:rsidR="00252D57" w:rsidRPr="001D52A0" w:rsidRDefault="00EC001E" w:rsidP="00907DA4">
            <w:pPr>
              <w:jc w:val="right"/>
              <w:rPr>
                <w:rFonts w:asciiTheme="minorHAnsi" w:hAnsiTheme="minorHAnsi" w:cs="Arial"/>
                <w:b/>
                <w:color w:val="000000"/>
                <w:sz w:val="22"/>
                <w:szCs w:val="22"/>
                <w:lang w:eastAsia="en-GB"/>
              </w:rPr>
            </w:pPr>
            <w:r w:rsidRPr="001D52A0">
              <w:rPr>
                <w:rFonts w:asciiTheme="minorHAnsi" w:hAnsiTheme="minorHAnsi" w:cs="Arial"/>
                <w:b/>
                <w:color w:val="000000"/>
                <w:sz w:val="22"/>
                <w:szCs w:val="22"/>
                <w:lang w:eastAsia="en-GB"/>
              </w:rPr>
              <w:t>6,</w:t>
            </w:r>
            <w:r w:rsidR="00907DA4" w:rsidRPr="001D52A0">
              <w:rPr>
                <w:rFonts w:asciiTheme="minorHAnsi" w:hAnsiTheme="minorHAnsi" w:cs="Arial"/>
                <w:b/>
                <w:color w:val="000000"/>
                <w:sz w:val="22"/>
                <w:szCs w:val="22"/>
                <w:lang w:eastAsia="en-GB"/>
              </w:rPr>
              <w:t>719</w:t>
            </w:r>
          </w:p>
        </w:tc>
      </w:tr>
    </w:tbl>
    <w:p w14:paraId="37901FDD" w14:textId="77777777" w:rsidR="001D52A0" w:rsidRPr="001D52A0" w:rsidRDefault="001D52A0" w:rsidP="001D52A0">
      <w:pPr>
        <w:autoSpaceDE w:val="0"/>
        <w:autoSpaceDN w:val="0"/>
        <w:adjustRightInd w:val="0"/>
        <w:spacing w:before="240" w:after="120"/>
        <w:ind w:left="465"/>
        <w:jc w:val="both"/>
        <w:rPr>
          <w:rFonts w:asciiTheme="minorHAnsi" w:hAnsiTheme="minorHAnsi" w:cs="Arial"/>
          <w:color w:val="000000" w:themeColor="text1"/>
          <w:sz w:val="22"/>
          <w:szCs w:val="22"/>
        </w:rPr>
      </w:pPr>
    </w:p>
    <w:p w14:paraId="170809C5" w14:textId="6A897D13" w:rsidR="00252D57" w:rsidRPr="001D52A0" w:rsidRDefault="006036A3" w:rsidP="004E4209">
      <w:pPr>
        <w:numPr>
          <w:ilvl w:val="1"/>
          <w:numId w:val="20"/>
        </w:numPr>
        <w:autoSpaceDE w:val="0"/>
        <w:autoSpaceDN w:val="0"/>
        <w:adjustRightInd w:val="0"/>
        <w:spacing w:before="240" w:after="120"/>
        <w:jc w:val="both"/>
        <w:rPr>
          <w:rFonts w:asciiTheme="minorHAnsi" w:hAnsiTheme="minorHAnsi" w:cs="Arial"/>
          <w:color w:val="000000" w:themeColor="text1"/>
          <w:sz w:val="22"/>
          <w:szCs w:val="22"/>
        </w:rPr>
      </w:pPr>
      <w:r w:rsidRPr="001D52A0">
        <w:rPr>
          <w:rFonts w:asciiTheme="minorHAnsi" w:hAnsiTheme="minorHAnsi" w:cs="Arial"/>
          <w:color w:val="000000" w:themeColor="text1"/>
          <w:sz w:val="22"/>
          <w:szCs w:val="22"/>
        </w:rPr>
        <w:t>Savings table:</w:t>
      </w:r>
    </w:p>
    <w:tbl>
      <w:tblPr>
        <w:tblW w:w="8930" w:type="dxa"/>
        <w:tblInd w:w="1101" w:type="dxa"/>
        <w:tblLayout w:type="fixed"/>
        <w:tblLook w:val="04A0" w:firstRow="1" w:lastRow="0" w:firstColumn="1" w:lastColumn="0" w:noHBand="0" w:noVBand="1"/>
      </w:tblPr>
      <w:tblGrid>
        <w:gridCol w:w="1417"/>
        <w:gridCol w:w="6095"/>
        <w:gridCol w:w="1418"/>
      </w:tblGrid>
      <w:tr w:rsidR="00252D57" w:rsidRPr="001D52A0" w14:paraId="52C26668" w14:textId="77777777" w:rsidTr="000332F1">
        <w:trPr>
          <w:trHeight w:val="315"/>
        </w:trPr>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6B7C9F" w14:textId="77777777" w:rsidR="00252D57" w:rsidRPr="001D52A0" w:rsidRDefault="00252D57" w:rsidP="000332F1">
            <w:pPr>
              <w:jc w:val="center"/>
              <w:rPr>
                <w:rFonts w:asciiTheme="minorHAnsi" w:hAnsiTheme="minorHAnsi" w:cs="Arial"/>
                <w:b/>
                <w:bCs/>
                <w:color w:val="000000"/>
                <w:sz w:val="22"/>
                <w:szCs w:val="22"/>
                <w:lang w:eastAsia="en-GB"/>
              </w:rPr>
            </w:pPr>
            <w:r w:rsidRPr="001D52A0">
              <w:rPr>
                <w:rFonts w:asciiTheme="minorHAnsi" w:hAnsiTheme="minorHAnsi" w:cs="Arial"/>
                <w:b/>
                <w:bCs/>
                <w:color w:val="000000"/>
                <w:sz w:val="22"/>
                <w:szCs w:val="22"/>
                <w:lang w:eastAsia="en-GB"/>
              </w:rPr>
              <w:t>Area</w:t>
            </w:r>
          </w:p>
        </w:tc>
        <w:tc>
          <w:tcPr>
            <w:tcW w:w="6095" w:type="dxa"/>
            <w:tcBorders>
              <w:top w:val="single" w:sz="8" w:space="0" w:color="auto"/>
              <w:left w:val="single" w:sz="4" w:space="0" w:color="auto"/>
              <w:bottom w:val="single" w:sz="8" w:space="0" w:color="auto"/>
              <w:right w:val="single" w:sz="4" w:space="0" w:color="auto"/>
            </w:tcBorders>
            <w:vAlign w:val="center"/>
          </w:tcPr>
          <w:p w14:paraId="7898A01F" w14:textId="77777777" w:rsidR="00252D57" w:rsidRPr="001D52A0" w:rsidRDefault="00252D57" w:rsidP="000332F1">
            <w:pPr>
              <w:jc w:val="center"/>
              <w:rPr>
                <w:rFonts w:asciiTheme="minorHAnsi" w:hAnsiTheme="minorHAnsi" w:cs="Arial"/>
                <w:b/>
                <w:bCs/>
                <w:color w:val="000000"/>
                <w:sz w:val="22"/>
                <w:szCs w:val="22"/>
                <w:lang w:eastAsia="en-GB"/>
              </w:rPr>
            </w:pPr>
            <w:r w:rsidRPr="001D52A0">
              <w:rPr>
                <w:rFonts w:asciiTheme="minorHAnsi" w:hAnsiTheme="minorHAnsi" w:cs="Arial"/>
                <w:b/>
                <w:bCs/>
                <w:color w:val="000000"/>
                <w:sz w:val="22"/>
                <w:szCs w:val="22"/>
                <w:lang w:eastAsia="en-GB"/>
              </w:rPr>
              <w:t>Explanation</w:t>
            </w:r>
          </w:p>
        </w:tc>
        <w:tc>
          <w:tcPr>
            <w:tcW w:w="1418" w:type="dxa"/>
            <w:tcBorders>
              <w:top w:val="single" w:sz="8" w:space="0" w:color="auto"/>
              <w:left w:val="single" w:sz="4" w:space="0" w:color="auto"/>
              <w:bottom w:val="single" w:sz="8" w:space="0" w:color="auto"/>
              <w:right w:val="single" w:sz="4" w:space="0" w:color="auto"/>
            </w:tcBorders>
            <w:vAlign w:val="center"/>
          </w:tcPr>
          <w:p w14:paraId="1243C697" w14:textId="77777777" w:rsidR="00252D57" w:rsidRPr="001D52A0" w:rsidRDefault="00252D57" w:rsidP="000332F1">
            <w:pPr>
              <w:jc w:val="right"/>
              <w:rPr>
                <w:rFonts w:asciiTheme="minorHAnsi" w:hAnsiTheme="minorHAnsi" w:cs="Arial"/>
                <w:b/>
                <w:bCs/>
                <w:color w:val="000000"/>
                <w:sz w:val="22"/>
                <w:szCs w:val="22"/>
                <w:lang w:eastAsia="en-GB"/>
              </w:rPr>
            </w:pPr>
            <w:r w:rsidRPr="001D52A0">
              <w:rPr>
                <w:rFonts w:asciiTheme="minorHAnsi" w:hAnsiTheme="minorHAnsi" w:cs="Arial"/>
                <w:b/>
                <w:bCs/>
                <w:color w:val="000000"/>
                <w:sz w:val="22"/>
                <w:szCs w:val="22"/>
                <w:lang w:eastAsia="en-GB"/>
              </w:rPr>
              <w:t xml:space="preserve">Saving </w:t>
            </w:r>
          </w:p>
          <w:p w14:paraId="4D26561D" w14:textId="77777777" w:rsidR="00252D57" w:rsidRPr="001D52A0" w:rsidRDefault="00252D57" w:rsidP="000332F1">
            <w:pPr>
              <w:jc w:val="right"/>
              <w:rPr>
                <w:rFonts w:asciiTheme="minorHAnsi" w:hAnsiTheme="minorHAnsi" w:cs="Arial"/>
                <w:b/>
                <w:bCs/>
                <w:color w:val="000000"/>
                <w:sz w:val="22"/>
                <w:szCs w:val="22"/>
                <w:lang w:eastAsia="en-GB"/>
              </w:rPr>
            </w:pPr>
            <w:r w:rsidRPr="001D52A0">
              <w:rPr>
                <w:rFonts w:asciiTheme="minorHAnsi" w:hAnsiTheme="minorHAnsi" w:cs="Arial"/>
                <w:b/>
                <w:bCs/>
                <w:color w:val="000000"/>
                <w:sz w:val="22"/>
                <w:szCs w:val="22"/>
                <w:lang w:eastAsia="en-GB"/>
              </w:rPr>
              <w:t>£ 000’s</w:t>
            </w:r>
          </w:p>
        </w:tc>
      </w:tr>
      <w:tr w:rsidR="00252D57" w:rsidRPr="001D52A0" w14:paraId="36B8C8FF" w14:textId="77777777" w:rsidTr="000332F1">
        <w:trPr>
          <w:trHeight w:val="1155"/>
        </w:trPr>
        <w:tc>
          <w:tcPr>
            <w:tcW w:w="1417" w:type="dxa"/>
            <w:tcBorders>
              <w:top w:val="nil"/>
              <w:left w:val="single" w:sz="8" w:space="0" w:color="auto"/>
              <w:bottom w:val="single" w:sz="4" w:space="0" w:color="auto"/>
              <w:right w:val="single" w:sz="8" w:space="0" w:color="auto"/>
            </w:tcBorders>
            <w:shd w:val="clear" w:color="auto" w:fill="auto"/>
            <w:vAlign w:val="center"/>
          </w:tcPr>
          <w:p w14:paraId="06DF95C0" w14:textId="480139A7" w:rsidR="00252D57" w:rsidRPr="001D52A0" w:rsidRDefault="00D90C37" w:rsidP="000332F1">
            <w:pP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Premises</w:t>
            </w:r>
          </w:p>
        </w:tc>
        <w:tc>
          <w:tcPr>
            <w:tcW w:w="6095" w:type="dxa"/>
            <w:tcBorders>
              <w:top w:val="nil"/>
              <w:left w:val="single" w:sz="4" w:space="0" w:color="auto"/>
              <w:bottom w:val="single" w:sz="4" w:space="0" w:color="auto"/>
              <w:right w:val="single" w:sz="4" w:space="0" w:color="auto"/>
            </w:tcBorders>
            <w:vAlign w:val="center"/>
          </w:tcPr>
          <w:p w14:paraId="4A80A4CA" w14:textId="7BA62121" w:rsidR="00252D57" w:rsidRPr="001D52A0" w:rsidRDefault="00D90C37" w:rsidP="000332F1">
            <w:pP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Reduction in reactive maintenance at Abbey Road</w:t>
            </w:r>
            <w:r w:rsidR="00C36B8D" w:rsidRPr="001D52A0">
              <w:rPr>
                <w:rFonts w:asciiTheme="minorHAnsi" w:hAnsiTheme="minorHAnsi" w:cs="Arial"/>
                <w:color w:val="000000"/>
                <w:sz w:val="22"/>
                <w:szCs w:val="22"/>
                <w:lang w:eastAsia="en-GB"/>
              </w:rPr>
              <w:t>.</w:t>
            </w:r>
          </w:p>
        </w:tc>
        <w:tc>
          <w:tcPr>
            <w:tcW w:w="1418" w:type="dxa"/>
            <w:tcBorders>
              <w:top w:val="nil"/>
              <w:left w:val="single" w:sz="4" w:space="0" w:color="auto"/>
              <w:bottom w:val="single" w:sz="4" w:space="0" w:color="auto"/>
              <w:right w:val="single" w:sz="4" w:space="0" w:color="auto"/>
            </w:tcBorders>
            <w:vAlign w:val="center"/>
          </w:tcPr>
          <w:p w14:paraId="443EC282" w14:textId="04D5B8BF" w:rsidR="00252D57" w:rsidRPr="001D52A0" w:rsidRDefault="00EC001E" w:rsidP="009F3364">
            <w:pPr>
              <w:jc w:val="righ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w:t>
            </w:r>
            <w:r w:rsidR="009F3364" w:rsidRPr="001D52A0">
              <w:rPr>
                <w:rFonts w:asciiTheme="minorHAnsi" w:hAnsiTheme="minorHAnsi" w:cs="Arial"/>
                <w:color w:val="000000"/>
                <w:sz w:val="22"/>
                <w:szCs w:val="22"/>
                <w:lang w:eastAsia="en-GB"/>
              </w:rPr>
              <w:t>11</w:t>
            </w:r>
            <w:r w:rsidRPr="001D52A0">
              <w:rPr>
                <w:rFonts w:asciiTheme="minorHAnsi" w:hAnsiTheme="minorHAnsi" w:cs="Arial"/>
                <w:color w:val="000000"/>
                <w:sz w:val="22"/>
                <w:szCs w:val="22"/>
                <w:lang w:eastAsia="en-GB"/>
              </w:rPr>
              <w:t>)</w:t>
            </w:r>
          </w:p>
        </w:tc>
      </w:tr>
      <w:tr w:rsidR="00673710" w:rsidRPr="001D52A0" w14:paraId="43180A9D" w14:textId="77777777" w:rsidTr="000332F1">
        <w:trPr>
          <w:trHeight w:val="1155"/>
        </w:trPr>
        <w:tc>
          <w:tcPr>
            <w:tcW w:w="1417" w:type="dxa"/>
            <w:tcBorders>
              <w:top w:val="single" w:sz="4" w:space="0" w:color="auto"/>
              <w:left w:val="single" w:sz="8" w:space="0" w:color="auto"/>
              <w:bottom w:val="single" w:sz="4" w:space="0" w:color="auto"/>
              <w:right w:val="single" w:sz="8" w:space="0" w:color="auto"/>
            </w:tcBorders>
            <w:shd w:val="clear" w:color="auto" w:fill="auto"/>
            <w:vAlign w:val="center"/>
          </w:tcPr>
          <w:p w14:paraId="772BAD2C" w14:textId="4DAA3DBF" w:rsidR="00673710" w:rsidRPr="001D52A0" w:rsidRDefault="00673710" w:rsidP="00673710">
            <w:pP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Employees</w:t>
            </w:r>
          </w:p>
        </w:tc>
        <w:tc>
          <w:tcPr>
            <w:tcW w:w="6095" w:type="dxa"/>
            <w:tcBorders>
              <w:top w:val="single" w:sz="4" w:space="0" w:color="auto"/>
              <w:left w:val="nil"/>
              <w:bottom w:val="single" w:sz="4" w:space="0" w:color="auto"/>
              <w:right w:val="single" w:sz="8" w:space="0" w:color="auto"/>
            </w:tcBorders>
            <w:shd w:val="clear" w:color="auto" w:fill="auto"/>
            <w:vAlign w:val="center"/>
          </w:tcPr>
          <w:p w14:paraId="619F614D" w14:textId="46771CD7" w:rsidR="00673710" w:rsidRPr="001D52A0" w:rsidRDefault="00A73C72" w:rsidP="00673710">
            <w:pP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HR Assistant role removed (£30,000)</w:t>
            </w:r>
            <w:r w:rsidR="005F5016" w:rsidRPr="001D52A0">
              <w:rPr>
                <w:rFonts w:asciiTheme="minorHAnsi" w:hAnsiTheme="minorHAnsi" w:cs="Arial"/>
                <w:color w:val="000000"/>
                <w:sz w:val="22"/>
                <w:szCs w:val="22"/>
                <w:lang w:eastAsia="en-GB"/>
              </w:rPr>
              <w:t xml:space="preserve">, </w:t>
            </w:r>
            <w:r w:rsidR="009566D8" w:rsidRPr="001D52A0">
              <w:rPr>
                <w:rFonts w:asciiTheme="minorHAnsi" w:hAnsiTheme="minorHAnsi" w:cs="Arial"/>
                <w:color w:val="000000"/>
                <w:sz w:val="22"/>
                <w:szCs w:val="22"/>
                <w:lang w:eastAsia="en-GB"/>
              </w:rPr>
              <w:t xml:space="preserve">and </w:t>
            </w:r>
            <w:r w:rsidR="005F5016" w:rsidRPr="001D52A0">
              <w:rPr>
                <w:rFonts w:asciiTheme="minorHAnsi" w:hAnsiTheme="minorHAnsi" w:cs="Arial"/>
                <w:color w:val="000000"/>
                <w:sz w:val="22"/>
                <w:szCs w:val="22"/>
                <w:lang w:eastAsia="en-GB"/>
              </w:rPr>
              <w:t>savings against role to be outsourced</w:t>
            </w:r>
            <w:r w:rsidR="009566D8" w:rsidRPr="001D52A0">
              <w:rPr>
                <w:rFonts w:asciiTheme="minorHAnsi" w:hAnsiTheme="minorHAnsi" w:cs="Arial"/>
                <w:color w:val="000000"/>
                <w:sz w:val="22"/>
                <w:szCs w:val="22"/>
                <w:lang w:eastAsia="en-GB"/>
              </w:rPr>
              <w:t xml:space="preserve"> within Programmes</w:t>
            </w:r>
            <w:r w:rsidR="005F5016" w:rsidRPr="001D52A0">
              <w:rPr>
                <w:rFonts w:asciiTheme="minorHAnsi" w:hAnsiTheme="minorHAnsi" w:cs="Arial"/>
                <w:color w:val="000000"/>
                <w:sz w:val="22"/>
                <w:szCs w:val="22"/>
                <w:lang w:eastAsia="en-GB"/>
              </w:rPr>
              <w:t xml:space="preserve"> (£50,000)</w:t>
            </w:r>
          </w:p>
        </w:tc>
        <w:tc>
          <w:tcPr>
            <w:tcW w:w="1418" w:type="dxa"/>
            <w:tcBorders>
              <w:top w:val="single" w:sz="4" w:space="0" w:color="auto"/>
              <w:left w:val="nil"/>
              <w:bottom w:val="single" w:sz="4" w:space="0" w:color="auto"/>
              <w:right w:val="single" w:sz="4" w:space="0" w:color="auto"/>
            </w:tcBorders>
            <w:vAlign w:val="center"/>
          </w:tcPr>
          <w:p w14:paraId="3A64AB9A" w14:textId="133A719D" w:rsidR="00673710" w:rsidRPr="001D52A0" w:rsidRDefault="005F5016" w:rsidP="00673710">
            <w:pPr>
              <w:jc w:val="righ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(81</w:t>
            </w:r>
            <w:r w:rsidR="00673710" w:rsidRPr="001D52A0">
              <w:rPr>
                <w:rFonts w:asciiTheme="minorHAnsi" w:hAnsiTheme="minorHAnsi" w:cs="Arial"/>
                <w:color w:val="000000"/>
                <w:sz w:val="22"/>
                <w:szCs w:val="22"/>
                <w:lang w:eastAsia="en-GB"/>
              </w:rPr>
              <w:t>)</w:t>
            </w:r>
          </w:p>
        </w:tc>
      </w:tr>
      <w:tr w:rsidR="00673710" w:rsidRPr="001D52A0" w14:paraId="12410DB1" w14:textId="77777777" w:rsidTr="000332F1">
        <w:trPr>
          <w:trHeight w:val="1155"/>
        </w:trPr>
        <w:tc>
          <w:tcPr>
            <w:tcW w:w="1417" w:type="dxa"/>
            <w:tcBorders>
              <w:top w:val="single" w:sz="4" w:space="0" w:color="auto"/>
              <w:left w:val="single" w:sz="8" w:space="0" w:color="auto"/>
              <w:bottom w:val="single" w:sz="4" w:space="0" w:color="auto"/>
              <w:right w:val="single" w:sz="8" w:space="0" w:color="auto"/>
            </w:tcBorders>
            <w:shd w:val="clear" w:color="auto" w:fill="auto"/>
            <w:vAlign w:val="center"/>
          </w:tcPr>
          <w:p w14:paraId="6A03BB52" w14:textId="7D069833" w:rsidR="00673710" w:rsidRPr="001D52A0" w:rsidRDefault="00673710" w:rsidP="00673710">
            <w:pP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lastRenderedPageBreak/>
              <w:t>Supplies and Services</w:t>
            </w:r>
          </w:p>
        </w:tc>
        <w:tc>
          <w:tcPr>
            <w:tcW w:w="6095" w:type="dxa"/>
            <w:tcBorders>
              <w:top w:val="single" w:sz="4" w:space="0" w:color="auto"/>
              <w:left w:val="nil"/>
              <w:bottom w:val="single" w:sz="4" w:space="0" w:color="auto"/>
              <w:right w:val="single" w:sz="8" w:space="0" w:color="auto"/>
            </w:tcBorders>
            <w:shd w:val="clear" w:color="auto" w:fill="auto"/>
            <w:vAlign w:val="center"/>
          </w:tcPr>
          <w:p w14:paraId="2C362D14" w14:textId="4B35DE66" w:rsidR="00673710" w:rsidRPr="001D52A0" w:rsidRDefault="00673710" w:rsidP="00907DA4">
            <w:pP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Savings made on leasing equipment at Abbey Road (£</w:t>
            </w:r>
            <w:r w:rsidR="009C1A2D" w:rsidRPr="001D52A0">
              <w:rPr>
                <w:rFonts w:asciiTheme="minorHAnsi" w:hAnsiTheme="minorHAnsi" w:cs="Arial"/>
                <w:color w:val="000000"/>
                <w:sz w:val="22"/>
                <w:szCs w:val="22"/>
                <w:lang w:eastAsia="en-GB"/>
              </w:rPr>
              <w:t>40</w:t>
            </w:r>
            <w:r w:rsidRPr="001D52A0">
              <w:rPr>
                <w:rFonts w:asciiTheme="minorHAnsi" w:hAnsiTheme="minorHAnsi" w:cs="Arial"/>
                <w:color w:val="000000"/>
                <w:sz w:val="22"/>
                <w:szCs w:val="22"/>
                <w:lang w:eastAsia="en-GB"/>
              </w:rPr>
              <w:t>,000), other savings identified (£20,000)</w:t>
            </w:r>
            <w:r w:rsidR="009C1A2D" w:rsidRPr="001D52A0">
              <w:rPr>
                <w:rFonts w:asciiTheme="minorHAnsi" w:hAnsiTheme="minorHAnsi" w:cs="Arial"/>
                <w:color w:val="000000"/>
                <w:sz w:val="22"/>
                <w:szCs w:val="22"/>
                <w:lang w:eastAsia="en-GB"/>
              </w:rPr>
              <w:t xml:space="preserve">, </w:t>
            </w:r>
            <w:r w:rsidR="00907DA4" w:rsidRPr="001D52A0">
              <w:rPr>
                <w:rFonts w:asciiTheme="minorHAnsi" w:hAnsiTheme="minorHAnsi" w:cs="Arial"/>
                <w:color w:val="000000"/>
                <w:sz w:val="22"/>
                <w:szCs w:val="22"/>
                <w:lang w:eastAsia="en-GB"/>
              </w:rPr>
              <w:t>consultancy</w:t>
            </w:r>
            <w:r w:rsidR="009C1A2D" w:rsidRPr="001D52A0">
              <w:rPr>
                <w:rFonts w:asciiTheme="minorHAnsi" w:hAnsiTheme="minorHAnsi" w:cs="Arial"/>
                <w:color w:val="000000"/>
                <w:sz w:val="22"/>
                <w:szCs w:val="22"/>
                <w:lang w:eastAsia="en-GB"/>
              </w:rPr>
              <w:t xml:space="preserve"> not required (£68,000)</w:t>
            </w:r>
          </w:p>
        </w:tc>
        <w:tc>
          <w:tcPr>
            <w:tcW w:w="1418" w:type="dxa"/>
            <w:tcBorders>
              <w:top w:val="single" w:sz="4" w:space="0" w:color="auto"/>
              <w:left w:val="nil"/>
              <w:bottom w:val="single" w:sz="4" w:space="0" w:color="auto"/>
              <w:right w:val="single" w:sz="4" w:space="0" w:color="auto"/>
            </w:tcBorders>
            <w:vAlign w:val="center"/>
          </w:tcPr>
          <w:p w14:paraId="356C2E82" w14:textId="3084D8C2" w:rsidR="00673710" w:rsidRPr="001D52A0" w:rsidRDefault="00673710" w:rsidP="009C1A2D">
            <w:pPr>
              <w:jc w:val="righ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(1</w:t>
            </w:r>
            <w:r w:rsidR="009C1A2D" w:rsidRPr="001D52A0">
              <w:rPr>
                <w:rFonts w:asciiTheme="minorHAnsi" w:hAnsiTheme="minorHAnsi" w:cs="Arial"/>
                <w:color w:val="000000"/>
                <w:sz w:val="22"/>
                <w:szCs w:val="22"/>
                <w:lang w:eastAsia="en-GB"/>
              </w:rPr>
              <w:t>30</w:t>
            </w:r>
            <w:r w:rsidRPr="001D52A0">
              <w:rPr>
                <w:rFonts w:asciiTheme="minorHAnsi" w:hAnsiTheme="minorHAnsi" w:cs="Arial"/>
                <w:color w:val="000000"/>
                <w:sz w:val="22"/>
                <w:szCs w:val="22"/>
                <w:lang w:eastAsia="en-GB"/>
              </w:rPr>
              <w:t>)</w:t>
            </w:r>
          </w:p>
        </w:tc>
      </w:tr>
      <w:tr w:rsidR="00673710" w:rsidRPr="001D52A0" w14:paraId="4DA71D3B" w14:textId="77777777" w:rsidTr="000332F1">
        <w:trPr>
          <w:trHeight w:val="1155"/>
        </w:trPr>
        <w:tc>
          <w:tcPr>
            <w:tcW w:w="1417" w:type="dxa"/>
            <w:tcBorders>
              <w:top w:val="single" w:sz="4" w:space="0" w:color="auto"/>
              <w:left w:val="single" w:sz="8" w:space="0" w:color="auto"/>
              <w:bottom w:val="single" w:sz="4" w:space="0" w:color="auto"/>
              <w:right w:val="single" w:sz="8" w:space="0" w:color="auto"/>
            </w:tcBorders>
            <w:shd w:val="clear" w:color="auto" w:fill="auto"/>
            <w:vAlign w:val="center"/>
          </w:tcPr>
          <w:p w14:paraId="77747B5B" w14:textId="6DF96424" w:rsidR="00673710" w:rsidRPr="001D52A0" w:rsidRDefault="00673710" w:rsidP="00673710">
            <w:pP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Other income</w:t>
            </w:r>
          </w:p>
        </w:tc>
        <w:tc>
          <w:tcPr>
            <w:tcW w:w="6095" w:type="dxa"/>
            <w:tcBorders>
              <w:top w:val="single" w:sz="4" w:space="0" w:color="auto"/>
              <w:left w:val="nil"/>
              <w:bottom w:val="single" w:sz="4" w:space="0" w:color="auto"/>
              <w:right w:val="single" w:sz="8" w:space="0" w:color="auto"/>
            </w:tcBorders>
            <w:shd w:val="clear" w:color="auto" w:fill="auto"/>
            <w:vAlign w:val="center"/>
          </w:tcPr>
          <w:p w14:paraId="4AAD5B41" w14:textId="42FE4FBD" w:rsidR="00673710" w:rsidRPr="001D52A0" w:rsidRDefault="00246543" w:rsidP="00673710">
            <w:pP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Acton Hub income (£84,000) and</w:t>
            </w:r>
            <w:r w:rsidR="00673710" w:rsidRPr="001D52A0">
              <w:rPr>
                <w:rFonts w:asciiTheme="minorHAnsi" w:hAnsiTheme="minorHAnsi" w:cs="Arial"/>
                <w:color w:val="000000"/>
                <w:sz w:val="22"/>
                <w:szCs w:val="22"/>
                <w:lang w:eastAsia="en-GB"/>
              </w:rPr>
              <w:t xml:space="preserve"> increase in sale of recyclable materials (£60,000)</w:t>
            </w:r>
          </w:p>
        </w:tc>
        <w:tc>
          <w:tcPr>
            <w:tcW w:w="1418" w:type="dxa"/>
            <w:tcBorders>
              <w:top w:val="single" w:sz="4" w:space="0" w:color="auto"/>
              <w:left w:val="nil"/>
              <w:bottom w:val="single" w:sz="4" w:space="0" w:color="auto"/>
              <w:right w:val="single" w:sz="4" w:space="0" w:color="auto"/>
            </w:tcBorders>
            <w:vAlign w:val="center"/>
          </w:tcPr>
          <w:p w14:paraId="77929690" w14:textId="25A4886F" w:rsidR="00673710" w:rsidRPr="001D52A0" w:rsidRDefault="00673710" w:rsidP="00673710">
            <w:pPr>
              <w:jc w:val="righ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(143)</w:t>
            </w:r>
          </w:p>
        </w:tc>
      </w:tr>
      <w:tr w:rsidR="00673710" w:rsidRPr="001D52A0" w14:paraId="1D7FA07E" w14:textId="77777777" w:rsidTr="000332F1">
        <w:trPr>
          <w:trHeight w:val="1155"/>
        </w:trPr>
        <w:tc>
          <w:tcPr>
            <w:tcW w:w="1417" w:type="dxa"/>
            <w:tcBorders>
              <w:top w:val="single" w:sz="4" w:space="0" w:color="auto"/>
              <w:left w:val="single" w:sz="8" w:space="0" w:color="auto"/>
              <w:bottom w:val="single" w:sz="4" w:space="0" w:color="auto"/>
              <w:right w:val="single" w:sz="8" w:space="0" w:color="auto"/>
            </w:tcBorders>
            <w:shd w:val="clear" w:color="auto" w:fill="auto"/>
            <w:vAlign w:val="center"/>
          </w:tcPr>
          <w:p w14:paraId="64B6F852" w14:textId="4BFDA808" w:rsidR="00673710" w:rsidRPr="001D52A0" w:rsidRDefault="00673710" w:rsidP="00673710">
            <w:pP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Trade waste income</w:t>
            </w:r>
          </w:p>
        </w:tc>
        <w:tc>
          <w:tcPr>
            <w:tcW w:w="6095" w:type="dxa"/>
            <w:tcBorders>
              <w:top w:val="single" w:sz="4" w:space="0" w:color="auto"/>
              <w:left w:val="nil"/>
              <w:bottom w:val="single" w:sz="4" w:space="0" w:color="auto"/>
              <w:right w:val="single" w:sz="8" w:space="0" w:color="auto"/>
            </w:tcBorders>
            <w:shd w:val="clear" w:color="auto" w:fill="auto"/>
            <w:vAlign w:val="center"/>
          </w:tcPr>
          <w:p w14:paraId="5A614465" w14:textId="09095B6D" w:rsidR="00673710" w:rsidRPr="001D52A0" w:rsidRDefault="00673710" w:rsidP="00673710">
            <w:pP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Reflective of an increase in pricing on residual and wood for account customers and non-account customers.</w:t>
            </w:r>
          </w:p>
        </w:tc>
        <w:tc>
          <w:tcPr>
            <w:tcW w:w="1418" w:type="dxa"/>
            <w:tcBorders>
              <w:top w:val="single" w:sz="4" w:space="0" w:color="auto"/>
              <w:left w:val="nil"/>
              <w:bottom w:val="single" w:sz="4" w:space="0" w:color="auto"/>
              <w:right w:val="single" w:sz="4" w:space="0" w:color="auto"/>
            </w:tcBorders>
            <w:vAlign w:val="center"/>
          </w:tcPr>
          <w:p w14:paraId="6089B207" w14:textId="0ED4C778" w:rsidR="00673710" w:rsidRPr="001D52A0" w:rsidRDefault="00673710" w:rsidP="00673710">
            <w:pPr>
              <w:jc w:val="righ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(855)</w:t>
            </w:r>
          </w:p>
        </w:tc>
      </w:tr>
      <w:tr w:rsidR="00673710" w:rsidRPr="001D52A0" w14:paraId="06E57D1E" w14:textId="77777777" w:rsidTr="000332F1">
        <w:trPr>
          <w:trHeight w:val="1155"/>
        </w:trPr>
        <w:tc>
          <w:tcPr>
            <w:tcW w:w="1417" w:type="dxa"/>
            <w:tcBorders>
              <w:top w:val="single" w:sz="4" w:space="0" w:color="auto"/>
              <w:left w:val="single" w:sz="8" w:space="0" w:color="auto"/>
              <w:bottom w:val="single" w:sz="4" w:space="0" w:color="auto"/>
              <w:right w:val="single" w:sz="8" w:space="0" w:color="auto"/>
            </w:tcBorders>
            <w:shd w:val="clear" w:color="auto" w:fill="auto"/>
            <w:vAlign w:val="center"/>
          </w:tcPr>
          <w:p w14:paraId="443CD578" w14:textId="7E0E25A8" w:rsidR="00673710" w:rsidRPr="001D52A0" w:rsidRDefault="00673710" w:rsidP="00673710">
            <w:pP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Agency income</w:t>
            </w:r>
          </w:p>
        </w:tc>
        <w:tc>
          <w:tcPr>
            <w:tcW w:w="6095" w:type="dxa"/>
            <w:tcBorders>
              <w:top w:val="single" w:sz="4" w:space="0" w:color="auto"/>
              <w:left w:val="nil"/>
              <w:bottom w:val="single" w:sz="4" w:space="0" w:color="auto"/>
              <w:right w:val="single" w:sz="8" w:space="0" w:color="auto"/>
            </w:tcBorders>
            <w:shd w:val="clear" w:color="auto" w:fill="auto"/>
            <w:vAlign w:val="center"/>
          </w:tcPr>
          <w:p w14:paraId="6CD6324F" w14:textId="1E424E7D" w:rsidR="00673710" w:rsidRPr="001D52A0" w:rsidRDefault="00673710" w:rsidP="00673710">
            <w:pP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Reflective of additional s</w:t>
            </w:r>
            <w:r w:rsidRPr="001D52A0">
              <w:rPr>
                <w:rFonts w:asciiTheme="minorHAnsi" w:hAnsiTheme="minorHAnsi" w:cs="Arial"/>
                <w:sz w:val="22"/>
                <w:szCs w:val="22"/>
                <w:lang w:eastAsia="en-GB"/>
              </w:rPr>
              <w:t>upport required due to the increase in throughput of street cleansing material at Abbey Road for LB Brent.</w:t>
            </w:r>
          </w:p>
        </w:tc>
        <w:tc>
          <w:tcPr>
            <w:tcW w:w="1418" w:type="dxa"/>
            <w:tcBorders>
              <w:top w:val="single" w:sz="4" w:space="0" w:color="auto"/>
              <w:left w:val="nil"/>
              <w:bottom w:val="single" w:sz="4" w:space="0" w:color="auto"/>
              <w:right w:val="single" w:sz="4" w:space="0" w:color="auto"/>
            </w:tcBorders>
            <w:vAlign w:val="center"/>
          </w:tcPr>
          <w:p w14:paraId="7054F91B" w14:textId="4B06F2C3" w:rsidR="00673710" w:rsidRPr="001D52A0" w:rsidRDefault="00673710" w:rsidP="00673710">
            <w:pPr>
              <w:jc w:val="righ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(97)</w:t>
            </w:r>
          </w:p>
        </w:tc>
      </w:tr>
      <w:tr w:rsidR="00673710" w:rsidRPr="001D52A0" w14:paraId="2D1B682A" w14:textId="77777777" w:rsidTr="000332F1">
        <w:trPr>
          <w:trHeight w:val="613"/>
        </w:trPr>
        <w:tc>
          <w:tcPr>
            <w:tcW w:w="1417" w:type="dxa"/>
            <w:tcBorders>
              <w:top w:val="single" w:sz="4" w:space="0" w:color="auto"/>
            </w:tcBorders>
            <w:shd w:val="clear" w:color="auto" w:fill="auto"/>
            <w:vAlign w:val="center"/>
          </w:tcPr>
          <w:p w14:paraId="2CFDA890" w14:textId="77777777" w:rsidR="00673710" w:rsidRPr="001D52A0" w:rsidRDefault="00673710" w:rsidP="00673710">
            <w:pPr>
              <w:rPr>
                <w:rFonts w:asciiTheme="minorHAnsi" w:hAnsiTheme="minorHAnsi" w:cs="Arial"/>
                <w:color w:val="000000"/>
                <w:sz w:val="22"/>
                <w:szCs w:val="22"/>
                <w:lang w:eastAsia="en-GB"/>
              </w:rPr>
            </w:pPr>
          </w:p>
        </w:tc>
        <w:tc>
          <w:tcPr>
            <w:tcW w:w="6095" w:type="dxa"/>
            <w:tcBorders>
              <w:top w:val="single" w:sz="4" w:space="0" w:color="auto"/>
              <w:right w:val="single" w:sz="4" w:space="0" w:color="auto"/>
            </w:tcBorders>
            <w:vAlign w:val="center"/>
          </w:tcPr>
          <w:p w14:paraId="1A386CCA" w14:textId="77777777" w:rsidR="00673710" w:rsidRPr="001D52A0" w:rsidRDefault="00673710" w:rsidP="00673710">
            <w:pPr>
              <w:rPr>
                <w:rFonts w:asciiTheme="minorHAnsi" w:hAnsiTheme="minorHAnsi" w:cs="Arial"/>
                <w:color w:val="000000"/>
                <w:sz w:val="22"/>
                <w:szCs w:val="22"/>
                <w:lang w:eastAsia="en-GB"/>
              </w:rPr>
            </w:pPr>
          </w:p>
        </w:tc>
        <w:tc>
          <w:tcPr>
            <w:tcW w:w="1418" w:type="dxa"/>
            <w:tcBorders>
              <w:top w:val="single" w:sz="4" w:space="0" w:color="auto"/>
              <w:left w:val="single" w:sz="4" w:space="0" w:color="auto"/>
              <w:bottom w:val="single" w:sz="4" w:space="0" w:color="auto"/>
              <w:right w:val="single" w:sz="4" w:space="0" w:color="auto"/>
            </w:tcBorders>
            <w:vAlign w:val="center"/>
          </w:tcPr>
          <w:p w14:paraId="01B23802" w14:textId="478711FE" w:rsidR="00673710" w:rsidRPr="001D52A0" w:rsidRDefault="00673710" w:rsidP="009C1A2D">
            <w:pPr>
              <w:jc w:val="right"/>
              <w:rPr>
                <w:rFonts w:asciiTheme="minorHAnsi" w:hAnsiTheme="minorHAnsi" w:cs="Arial"/>
                <w:b/>
                <w:color w:val="000000"/>
                <w:sz w:val="22"/>
                <w:szCs w:val="22"/>
                <w:lang w:eastAsia="en-GB"/>
              </w:rPr>
            </w:pPr>
            <w:r w:rsidRPr="001D52A0">
              <w:rPr>
                <w:rFonts w:asciiTheme="minorHAnsi" w:hAnsiTheme="minorHAnsi" w:cs="Arial"/>
                <w:b/>
                <w:color w:val="000000"/>
                <w:sz w:val="22"/>
                <w:szCs w:val="22"/>
                <w:lang w:eastAsia="en-GB"/>
              </w:rPr>
              <w:t>(1,</w:t>
            </w:r>
            <w:r w:rsidR="009C1A2D" w:rsidRPr="001D52A0">
              <w:rPr>
                <w:rFonts w:asciiTheme="minorHAnsi" w:hAnsiTheme="minorHAnsi" w:cs="Arial"/>
                <w:b/>
                <w:color w:val="000000"/>
                <w:sz w:val="22"/>
                <w:szCs w:val="22"/>
                <w:lang w:eastAsia="en-GB"/>
              </w:rPr>
              <w:t>319</w:t>
            </w:r>
            <w:r w:rsidR="005F5016" w:rsidRPr="001D52A0">
              <w:rPr>
                <w:rFonts w:asciiTheme="minorHAnsi" w:hAnsiTheme="minorHAnsi" w:cs="Arial"/>
                <w:b/>
                <w:color w:val="000000"/>
                <w:sz w:val="22"/>
                <w:szCs w:val="22"/>
                <w:lang w:eastAsia="en-GB"/>
              </w:rPr>
              <w:t>)</w:t>
            </w:r>
          </w:p>
        </w:tc>
      </w:tr>
    </w:tbl>
    <w:p w14:paraId="0F77D906" w14:textId="77777777" w:rsidR="00EC43CC" w:rsidRPr="001D52A0" w:rsidRDefault="006036A3" w:rsidP="004E4209">
      <w:pPr>
        <w:numPr>
          <w:ilvl w:val="1"/>
          <w:numId w:val="20"/>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Other movements table:</w:t>
      </w:r>
    </w:p>
    <w:tbl>
      <w:tblPr>
        <w:tblW w:w="8930" w:type="dxa"/>
        <w:tblInd w:w="1101" w:type="dxa"/>
        <w:tblLook w:val="04A0" w:firstRow="1" w:lastRow="0" w:firstColumn="1" w:lastColumn="0" w:noHBand="0" w:noVBand="1"/>
      </w:tblPr>
      <w:tblGrid>
        <w:gridCol w:w="1452"/>
        <w:gridCol w:w="6014"/>
        <w:gridCol w:w="1464"/>
      </w:tblGrid>
      <w:tr w:rsidR="0096784A" w:rsidRPr="001D52A0" w14:paraId="0D64A68B" w14:textId="77777777" w:rsidTr="0026234F">
        <w:trPr>
          <w:trHeight w:val="315"/>
        </w:trPr>
        <w:tc>
          <w:tcPr>
            <w:tcW w:w="14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CD636C" w14:textId="77777777" w:rsidR="0096784A" w:rsidRPr="001D52A0" w:rsidRDefault="0096784A" w:rsidP="0096784A">
            <w:pPr>
              <w:jc w:val="center"/>
              <w:rPr>
                <w:rFonts w:asciiTheme="minorHAnsi" w:hAnsiTheme="minorHAnsi" w:cs="Arial"/>
                <w:b/>
                <w:bCs/>
                <w:color w:val="000000"/>
                <w:sz w:val="22"/>
                <w:szCs w:val="22"/>
                <w:lang w:eastAsia="en-GB"/>
              </w:rPr>
            </w:pPr>
            <w:r w:rsidRPr="001D52A0">
              <w:rPr>
                <w:rFonts w:asciiTheme="minorHAnsi" w:hAnsiTheme="minorHAnsi" w:cs="Arial"/>
                <w:b/>
                <w:bCs/>
                <w:color w:val="000000"/>
                <w:sz w:val="22"/>
                <w:szCs w:val="22"/>
                <w:lang w:eastAsia="en-GB"/>
              </w:rPr>
              <w:t>Area</w:t>
            </w:r>
          </w:p>
        </w:tc>
        <w:tc>
          <w:tcPr>
            <w:tcW w:w="6014" w:type="dxa"/>
            <w:tcBorders>
              <w:top w:val="single" w:sz="8" w:space="0" w:color="auto"/>
              <w:left w:val="single" w:sz="4" w:space="0" w:color="auto"/>
              <w:bottom w:val="single" w:sz="8" w:space="0" w:color="auto"/>
              <w:right w:val="single" w:sz="4" w:space="0" w:color="auto"/>
            </w:tcBorders>
            <w:vAlign w:val="center"/>
          </w:tcPr>
          <w:p w14:paraId="796BC819" w14:textId="77777777" w:rsidR="0096784A" w:rsidRPr="001D52A0" w:rsidRDefault="0096784A" w:rsidP="0096784A">
            <w:pPr>
              <w:jc w:val="center"/>
              <w:rPr>
                <w:rFonts w:asciiTheme="minorHAnsi" w:hAnsiTheme="minorHAnsi" w:cs="Arial"/>
                <w:b/>
                <w:bCs/>
                <w:color w:val="000000"/>
                <w:sz w:val="22"/>
                <w:szCs w:val="22"/>
                <w:lang w:eastAsia="en-GB"/>
              </w:rPr>
            </w:pPr>
            <w:r w:rsidRPr="001D52A0">
              <w:rPr>
                <w:rFonts w:asciiTheme="minorHAnsi" w:hAnsiTheme="minorHAnsi" w:cs="Arial"/>
                <w:b/>
                <w:bCs/>
                <w:color w:val="000000"/>
                <w:sz w:val="22"/>
                <w:szCs w:val="22"/>
                <w:lang w:eastAsia="en-GB"/>
              </w:rPr>
              <w:t>Explanation</w:t>
            </w:r>
          </w:p>
        </w:tc>
        <w:tc>
          <w:tcPr>
            <w:tcW w:w="1464" w:type="dxa"/>
            <w:tcBorders>
              <w:top w:val="single" w:sz="8" w:space="0" w:color="auto"/>
              <w:left w:val="single" w:sz="4" w:space="0" w:color="auto"/>
              <w:bottom w:val="single" w:sz="8" w:space="0" w:color="auto"/>
              <w:right w:val="single" w:sz="4" w:space="0" w:color="auto"/>
            </w:tcBorders>
            <w:vAlign w:val="center"/>
          </w:tcPr>
          <w:p w14:paraId="36E86B2E" w14:textId="77777777" w:rsidR="0096784A" w:rsidRPr="001D52A0" w:rsidRDefault="0026234F" w:rsidP="00B33243">
            <w:pPr>
              <w:jc w:val="right"/>
              <w:rPr>
                <w:rFonts w:asciiTheme="minorHAnsi" w:hAnsiTheme="minorHAnsi" w:cs="Arial"/>
                <w:b/>
                <w:bCs/>
                <w:color w:val="000000"/>
                <w:sz w:val="22"/>
                <w:szCs w:val="22"/>
                <w:lang w:eastAsia="en-GB"/>
              </w:rPr>
            </w:pPr>
            <w:r w:rsidRPr="001D52A0">
              <w:rPr>
                <w:rFonts w:asciiTheme="minorHAnsi" w:hAnsiTheme="minorHAnsi" w:cs="Arial"/>
                <w:b/>
                <w:bCs/>
                <w:color w:val="000000"/>
                <w:sz w:val="22"/>
                <w:szCs w:val="22"/>
                <w:lang w:eastAsia="en-GB"/>
              </w:rPr>
              <w:t>Increase / (Decrease)</w:t>
            </w:r>
            <w:r w:rsidR="002A40C0" w:rsidRPr="001D52A0">
              <w:rPr>
                <w:rFonts w:asciiTheme="minorHAnsi" w:hAnsiTheme="minorHAnsi" w:cs="Arial"/>
                <w:b/>
                <w:bCs/>
                <w:color w:val="000000"/>
                <w:sz w:val="22"/>
                <w:szCs w:val="22"/>
                <w:lang w:eastAsia="en-GB"/>
              </w:rPr>
              <w:t xml:space="preserve"> £</w:t>
            </w:r>
            <w:r w:rsidR="00B33243" w:rsidRPr="001D52A0">
              <w:rPr>
                <w:rFonts w:asciiTheme="minorHAnsi" w:hAnsiTheme="minorHAnsi" w:cs="Arial"/>
                <w:b/>
                <w:bCs/>
                <w:color w:val="000000"/>
                <w:sz w:val="22"/>
                <w:szCs w:val="22"/>
                <w:lang w:eastAsia="en-GB"/>
              </w:rPr>
              <w:t xml:space="preserve"> 000’s</w:t>
            </w:r>
          </w:p>
        </w:tc>
      </w:tr>
      <w:tr w:rsidR="002A40C0" w:rsidRPr="001D52A0" w14:paraId="56619E17" w14:textId="77777777" w:rsidTr="0026234F">
        <w:trPr>
          <w:trHeight w:val="1155"/>
        </w:trPr>
        <w:tc>
          <w:tcPr>
            <w:tcW w:w="1452" w:type="dxa"/>
            <w:tcBorders>
              <w:top w:val="nil"/>
              <w:left w:val="single" w:sz="8" w:space="0" w:color="auto"/>
              <w:bottom w:val="single" w:sz="4" w:space="0" w:color="auto"/>
              <w:right w:val="single" w:sz="8" w:space="0" w:color="auto"/>
            </w:tcBorders>
            <w:shd w:val="clear" w:color="auto" w:fill="auto"/>
            <w:vAlign w:val="center"/>
          </w:tcPr>
          <w:p w14:paraId="6955EC60" w14:textId="77777777" w:rsidR="002A40C0" w:rsidRPr="001D52A0" w:rsidRDefault="002A40C0" w:rsidP="0096784A">
            <w:pP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Depreciation</w:t>
            </w:r>
          </w:p>
        </w:tc>
        <w:tc>
          <w:tcPr>
            <w:tcW w:w="6014" w:type="dxa"/>
            <w:tcBorders>
              <w:top w:val="nil"/>
              <w:left w:val="single" w:sz="4" w:space="0" w:color="auto"/>
              <w:bottom w:val="single" w:sz="4" w:space="0" w:color="auto"/>
              <w:right w:val="single" w:sz="4" w:space="0" w:color="auto"/>
            </w:tcBorders>
            <w:vAlign w:val="center"/>
          </w:tcPr>
          <w:p w14:paraId="34BBC714" w14:textId="42B68145" w:rsidR="002040CB" w:rsidRPr="001D52A0" w:rsidRDefault="003E1144" w:rsidP="002040CB">
            <w:p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This principally</w:t>
            </w:r>
            <w:r w:rsidR="002040CB" w:rsidRPr="001D52A0">
              <w:rPr>
                <w:rFonts w:asciiTheme="minorHAnsi" w:hAnsiTheme="minorHAnsi" w:cs="Arial"/>
                <w:sz w:val="22"/>
                <w:szCs w:val="22"/>
              </w:rPr>
              <w:t xml:space="preserve"> reflects property asset valuations and capital additions.</w:t>
            </w:r>
          </w:p>
          <w:p w14:paraId="2059FC76" w14:textId="630AE9E4" w:rsidR="002A40C0" w:rsidRPr="001D52A0" w:rsidRDefault="002A40C0" w:rsidP="00F76350">
            <w:pPr>
              <w:rPr>
                <w:rFonts w:asciiTheme="minorHAnsi" w:hAnsiTheme="minorHAnsi" w:cs="Arial"/>
                <w:color w:val="000000"/>
                <w:sz w:val="22"/>
                <w:szCs w:val="22"/>
                <w:lang w:eastAsia="en-GB"/>
              </w:rPr>
            </w:pPr>
          </w:p>
        </w:tc>
        <w:tc>
          <w:tcPr>
            <w:tcW w:w="1464" w:type="dxa"/>
            <w:tcBorders>
              <w:top w:val="nil"/>
              <w:left w:val="single" w:sz="4" w:space="0" w:color="auto"/>
              <w:bottom w:val="single" w:sz="4" w:space="0" w:color="auto"/>
              <w:right w:val="single" w:sz="4" w:space="0" w:color="auto"/>
            </w:tcBorders>
            <w:vAlign w:val="center"/>
          </w:tcPr>
          <w:p w14:paraId="37370FB0" w14:textId="7D1A9553" w:rsidR="002A40C0" w:rsidRPr="001D52A0" w:rsidRDefault="00EC001E" w:rsidP="00205511">
            <w:pPr>
              <w:jc w:val="righ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388</w:t>
            </w:r>
          </w:p>
        </w:tc>
      </w:tr>
      <w:tr w:rsidR="007A08FB" w:rsidRPr="001D52A0" w14:paraId="03D469B7" w14:textId="77777777" w:rsidTr="0026234F">
        <w:trPr>
          <w:trHeight w:val="1155"/>
        </w:trPr>
        <w:tc>
          <w:tcPr>
            <w:tcW w:w="1452" w:type="dxa"/>
            <w:tcBorders>
              <w:top w:val="nil"/>
              <w:left w:val="single" w:sz="8" w:space="0" w:color="auto"/>
              <w:bottom w:val="single" w:sz="4" w:space="0" w:color="auto"/>
              <w:right w:val="single" w:sz="8" w:space="0" w:color="auto"/>
            </w:tcBorders>
            <w:shd w:val="clear" w:color="auto" w:fill="auto"/>
            <w:vAlign w:val="center"/>
          </w:tcPr>
          <w:p w14:paraId="79FAB94F" w14:textId="77777777" w:rsidR="007A08FB" w:rsidRPr="001D52A0" w:rsidRDefault="007A08FB" w:rsidP="0096784A">
            <w:pP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Financing Costs</w:t>
            </w:r>
          </w:p>
        </w:tc>
        <w:tc>
          <w:tcPr>
            <w:tcW w:w="6014" w:type="dxa"/>
            <w:tcBorders>
              <w:top w:val="nil"/>
              <w:left w:val="single" w:sz="4" w:space="0" w:color="auto"/>
              <w:bottom w:val="single" w:sz="4" w:space="0" w:color="auto"/>
              <w:right w:val="single" w:sz="4" w:space="0" w:color="auto"/>
            </w:tcBorders>
            <w:vAlign w:val="center"/>
          </w:tcPr>
          <w:p w14:paraId="22A40D8D" w14:textId="77777777" w:rsidR="007A08FB" w:rsidRPr="001D52A0" w:rsidRDefault="008F31D0" w:rsidP="00A71000">
            <w:pP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 xml:space="preserve">Reflecting </w:t>
            </w:r>
            <w:r w:rsidR="002868AE" w:rsidRPr="001D52A0">
              <w:rPr>
                <w:rFonts w:asciiTheme="minorHAnsi" w:hAnsiTheme="minorHAnsi" w:cs="Arial"/>
                <w:color w:val="000000"/>
                <w:sz w:val="22"/>
                <w:szCs w:val="22"/>
                <w:lang w:eastAsia="en-GB"/>
              </w:rPr>
              <w:t xml:space="preserve">reducing interest in repayment </w:t>
            </w:r>
            <w:r w:rsidR="00A71000" w:rsidRPr="001D52A0">
              <w:rPr>
                <w:rFonts w:asciiTheme="minorHAnsi" w:hAnsiTheme="minorHAnsi" w:cs="Arial"/>
                <w:color w:val="000000"/>
                <w:sz w:val="22"/>
                <w:szCs w:val="22"/>
                <w:lang w:eastAsia="en-GB"/>
              </w:rPr>
              <w:t xml:space="preserve">loans </w:t>
            </w:r>
            <w:r w:rsidR="00F76350" w:rsidRPr="001D52A0">
              <w:rPr>
                <w:rFonts w:asciiTheme="minorHAnsi" w:hAnsiTheme="minorHAnsi" w:cs="Arial"/>
                <w:color w:val="000000"/>
                <w:sz w:val="22"/>
                <w:szCs w:val="22"/>
                <w:lang w:eastAsia="en-GB"/>
              </w:rPr>
              <w:t>for SERC with boroughs</w:t>
            </w:r>
          </w:p>
        </w:tc>
        <w:tc>
          <w:tcPr>
            <w:tcW w:w="1464" w:type="dxa"/>
            <w:tcBorders>
              <w:top w:val="nil"/>
              <w:left w:val="single" w:sz="4" w:space="0" w:color="auto"/>
              <w:bottom w:val="single" w:sz="4" w:space="0" w:color="auto"/>
              <w:right w:val="single" w:sz="4" w:space="0" w:color="auto"/>
            </w:tcBorders>
            <w:vAlign w:val="center"/>
          </w:tcPr>
          <w:p w14:paraId="0AA8ABD3" w14:textId="12A18E28" w:rsidR="007A08FB" w:rsidRPr="001D52A0" w:rsidRDefault="00EC001E" w:rsidP="007369F5">
            <w:pPr>
              <w:jc w:val="righ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(143</w:t>
            </w:r>
            <w:r w:rsidR="00C759E7" w:rsidRPr="001D52A0">
              <w:rPr>
                <w:rFonts w:asciiTheme="minorHAnsi" w:hAnsiTheme="minorHAnsi" w:cs="Arial"/>
                <w:color w:val="000000"/>
                <w:sz w:val="22"/>
                <w:szCs w:val="22"/>
                <w:lang w:eastAsia="en-GB"/>
              </w:rPr>
              <w:t>)</w:t>
            </w:r>
          </w:p>
        </w:tc>
      </w:tr>
      <w:tr w:rsidR="0096784A" w:rsidRPr="001D52A0" w14:paraId="76B5A81B" w14:textId="77777777" w:rsidTr="0026234F">
        <w:trPr>
          <w:trHeight w:val="1155"/>
        </w:trPr>
        <w:tc>
          <w:tcPr>
            <w:tcW w:w="1452" w:type="dxa"/>
            <w:tcBorders>
              <w:top w:val="nil"/>
              <w:left w:val="single" w:sz="8" w:space="0" w:color="auto"/>
              <w:bottom w:val="single" w:sz="4" w:space="0" w:color="auto"/>
              <w:right w:val="single" w:sz="8" w:space="0" w:color="auto"/>
            </w:tcBorders>
            <w:shd w:val="clear" w:color="auto" w:fill="auto"/>
            <w:vAlign w:val="center"/>
          </w:tcPr>
          <w:p w14:paraId="06E83D78" w14:textId="77777777" w:rsidR="0096784A" w:rsidRPr="001D52A0" w:rsidRDefault="002A40C0" w:rsidP="0096784A">
            <w:pP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Revenue Funding of Debt</w:t>
            </w:r>
          </w:p>
        </w:tc>
        <w:tc>
          <w:tcPr>
            <w:tcW w:w="6014" w:type="dxa"/>
            <w:tcBorders>
              <w:top w:val="nil"/>
              <w:left w:val="single" w:sz="4" w:space="0" w:color="auto"/>
              <w:bottom w:val="single" w:sz="4" w:space="0" w:color="auto"/>
              <w:right w:val="single" w:sz="4" w:space="0" w:color="auto"/>
            </w:tcBorders>
            <w:vAlign w:val="center"/>
          </w:tcPr>
          <w:p w14:paraId="168AC99C" w14:textId="77777777" w:rsidR="00116C49" w:rsidRPr="001D52A0" w:rsidRDefault="00D32606" w:rsidP="00A71000">
            <w:pP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Reflect</w:t>
            </w:r>
            <w:r w:rsidR="002868AE" w:rsidRPr="001D52A0">
              <w:rPr>
                <w:rFonts w:asciiTheme="minorHAnsi" w:hAnsiTheme="minorHAnsi" w:cs="Arial"/>
                <w:color w:val="000000"/>
                <w:sz w:val="22"/>
                <w:szCs w:val="22"/>
                <w:lang w:eastAsia="en-GB"/>
              </w:rPr>
              <w:t>ing rising repayment of princip</w:t>
            </w:r>
            <w:r w:rsidR="00B84589" w:rsidRPr="001D52A0">
              <w:rPr>
                <w:rFonts w:asciiTheme="minorHAnsi" w:hAnsiTheme="minorHAnsi" w:cs="Arial"/>
                <w:color w:val="000000"/>
                <w:sz w:val="22"/>
                <w:szCs w:val="22"/>
                <w:lang w:eastAsia="en-GB"/>
              </w:rPr>
              <w:t>a</w:t>
            </w:r>
            <w:r w:rsidR="002868AE" w:rsidRPr="001D52A0">
              <w:rPr>
                <w:rFonts w:asciiTheme="minorHAnsi" w:hAnsiTheme="minorHAnsi" w:cs="Arial"/>
                <w:color w:val="000000"/>
                <w:sz w:val="22"/>
                <w:szCs w:val="22"/>
                <w:lang w:eastAsia="en-GB"/>
              </w:rPr>
              <w:t xml:space="preserve">l in repayment </w:t>
            </w:r>
            <w:r w:rsidR="00A71000" w:rsidRPr="001D52A0">
              <w:rPr>
                <w:rFonts w:asciiTheme="minorHAnsi" w:hAnsiTheme="minorHAnsi" w:cs="Arial"/>
                <w:color w:val="000000"/>
                <w:sz w:val="22"/>
                <w:szCs w:val="22"/>
                <w:lang w:eastAsia="en-GB"/>
              </w:rPr>
              <w:t xml:space="preserve">loan </w:t>
            </w:r>
            <w:r w:rsidR="00F76350" w:rsidRPr="001D52A0">
              <w:rPr>
                <w:rFonts w:asciiTheme="minorHAnsi" w:hAnsiTheme="minorHAnsi" w:cs="Arial"/>
                <w:color w:val="000000"/>
                <w:sz w:val="22"/>
                <w:szCs w:val="22"/>
                <w:lang w:eastAsia="en-GB"/>
              </w:rPr>
              <w:t>for sites with PWLB</w:t>
            </w:r>
          </w:p>
        </w:tc>
        <w:tc>
          <w:tcPr>
            <w:tcW w:w="1464" w:type="dxa"/>
            <w:tcBorders>
              <w:top w:val="nil"/>
              <w:left w:val="single" w:sz="4" w:space="0" w:color="auto"/>
              <w:bottom w:val="single" w:sz="4" w:space="0" w:color="auto"/>
              <w:right w:val="single" w:sz="4" w:space="0" w:color="auto"/>
            </w:tcBorders>
            <w:vAlign w:val="center"/>
          </w:tcPr>
          <w:p w14:paraId="6565352B" w14:textId="77777777" w:rsidR="0096784A" w:rsidRPr="001D52A0" w:rsidRDefault="00C759E7" w:rsidP="00722B49">
            <w:pPr>
              <w:jc w:val="righ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2</w:t>
            </w:r>
            <w:r w:rsidR="00AA0CB9" w:rsidRPr="001D52A0">
              <w:rPr>
                <w:rFonts w:asciiTheme="minorHAnsi" w:hAnsiTheme="minorHAnsi" w:cs="Arial"/>
                <w:color w:val="000000"/>
                <w:sz w:val="22"/>
                <w:szCs w:val="22"/>
                <w:lang w:eastAsia="en-GB"/>
              </w:rPr>
              <w:t>2</w:t>
            </w:r>
          </w:p>
        </w:tc>
      </w:tr>
      <w:tr w:rsidR="00116C49" w:rsidRPr="001D52A0" w14:paraId="6BEC4E15" w14:textId="77777777" w:rsidTr="009605A8">
        <w:trPr>
          <w:trHeight w:val="1155"/>
        </w:trPr>
        <w:tc>
          <w:tcPr>
            <w:tcW w:w="1452" w:type="dxa"/>
            <w:tcBorders>
              <w:top w:val="single" w:sz="4" w:space="0" w:color="auto"/>
              <w:left w:val="single" w:sz="8" w:space="0" w:color="auto"/>
              <w:bottom w:val="single" w:sz="4" w:space="0" w:color="auto"/>
              <w:right w:val="single" w:sz="8" w:space="0" w:color="auto"/>
            </w:tcBorders>
            <w:shd w:val="clear" w:color="auto" w:fill="auto"/>
            <w:vAlign w:val="center"/>
          </w:tcPr>
          <w:p w14:paraId="31FF0CD2" w14:textId="77777777" w:rsidR="00116C49" w:rsidRPr="001D52A0" w:rsidRDefault="002A40C0" w:rsidP="0096784A">
            <w:pP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Concession Accounting Adjustment</w:t>
            </w:r>
          </w:p>
        </w:tc>
        <w:tc>
          <w:tcPr>
            <w:tcW w:w="6014" w:type="dxa"/>
            <w:tcBorders>
              <w:top w:val="single" w:sz="4" w:space="0" w:color="auto"/>
              <w:left w:val="single" w:sz="4" w:space="0" w:color="auto"/>
              <w:bottom w:val="single" w:sz="4" w:space="0" w:color="auto"/>
              <w:right w:val="single" w:sz="4" w:space="0" w:color="auto"/>
            </w:tcBorders>
            <w:vAlign w:val="center"/>
          </w:tcPr>
          <w:p w14:paraId="209B9541" w14:textId="56BDC2A5" w:rsidR="00116C49" w:rsidRPr="001D52A0" w:rsidRDefault="002040CB" w:rsidP="00DF1B08">
            <w:pP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Reflecting adjustments agreed with auditors for the last accounts</w:t>
            </w:r>
          </w:p>
        </w:tc>
        <w:tc>
          <w:tcPr>
            <w:tcW w:w="1464" w:type="dxa"/>
            <w:tcBorders>
              <w:top w:val="single" w:sz="4" w:space="0" w:color="auto"/>
              <w:left w:val="single" w:sz="4" w:space="0" w:color="auto"/>
              <w:bottom w:val="single" w:sz="4" w:space="0" w:color="auto"/>
              <w:right w:val="single" w:sz="4" w:space="0" w:color="auto"/>
            </w:tcBorders>
            <w:vAlign w:val="center"/>
          </w:tcPr>
          <w:p w14:paraId="0BB9A49A" w14:textId="24F375A0" w:rsidR="00116C49" w:rsidRPr="001D52A0" w:rsidRDefault="00EC001E" w:rsidP="002868AE">
            <w:pPr>
              <w:jc w:val="righ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(96</w:t>
            </w:r>
            <w:r w:rsidR="00C759E7" w:rsidRPr="001D52A0">
              <w:rPr>
                <w:rFonts w:asciiTheme="minorHAnsi" w:hAnsiTheme="minorHAnsi" w:cs="Arial"/>
                <w:color w:val="000000"/>
                <w:sz w:val="22"/>
                <w:szCs w:val="22"/>
                <w:lang w:eastAsia="en-GB"/>
              </w:rPr>
              <w:t>)</w:t>
            </w:r>
          </w:p>
        </w:tc>
      </w:tr>
      <w:tr w:rsidR="000F0827" w:rsidRPr="001D52A0" w14:paraId="26C79B56" w14:textId="77777777" w:rsidTr="009605A8">
        <w:trPr>
          <w:trHeight w:val="1155"/>
        </w:trPr>
        <w:tc>
          <w:tcPr>
            <w:tcW w:w="1452" w:type="dxa"/>
            <w:tcBorders>
              <w:top w:val="single" w:sz="4" w:space="0" w:color="auto"/>
              <w:left w:val="single" w:sz="8" w:space="0" w:color="auto"/>
              <w:bottom w:val="single" w:sz="4" w:space="0" w:color="auto"/>
              <w:right w:val="single" w:sz="8" w:space="0" w:color="auto"/>
            </w:tcBorders>
            <w:shd w:val="clear" w:color="auto" w:fill="auto"/>
            <w:vAlign w:val="center"/>
          </w:tcPr>
          <w:p w14:paraId="129D62A5" w14:textId="77777777" w:rsidR="000F0827" w:rsidRPr="001D52A0" w:rsidRDefault="000F0827" w:rsidP="003A281C">
            <w:pP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Pro</w:t>
            </w:r>
            <w:r w:rsidR="004B750D" w:rsidRPr="001D52A0">
              <w:rPr>
                <w:rFonts w:asciiTheme="minorHAnsi" w:hAnsiTheme="minorHAnsi" w:cs="Arial"/>
                <w:color w:val="000000"/>
                <w:sz w:val="22"/>
                <w:szCs w:val="22"/>
                <w:lang w:eastAsia="en-GB"/>
              </w:rPr>
              <w:t xml:space="preserve">gramme work </w:t>
            </w:r>
            <w:r w:rsidRPr="001D52A0">
              <w:rPr>
                <w:rFonts w:asciiTheme="minorHAnsi" w:hAnsiTheme="minorHAnsi" w:cs="Arial"/>
                <w:color w:val="000000"/>
                <w:sz w:val="22"/>
                <w:szCs w:val="22"/>
                <w:lang w:eastAsia="en-GB"/>
              </w:rPr>
              <w:t>funded by PPP income</w:t>
            </w:r>
          </w:p>
        </w:tc>
        <w:tc>
          <w:tcPr>
            <w:tcW w:w="6014" w:type="dxa"/>
            <w:tcBorders>
              <w:top w:val="single" w:sz="4" w:space="0" w:color="auto"/>
              <w:left w:val="single" w:sz="4" w:space="0" w:color="auto"/>
              <w:bottom w:val="single" w:sz="4" w:space="0" w:color="auto"/>
              <w:right w:val="single" w:sz="4" w:space="0" w:color="auto"/>
            </w:tcBorders>
            <w:vAlign w:val="center"/>
          </w:tcPr>
          <w:p w14:paraId="3ADE1A4D" w14:textId="77777777" w:rsidR="000F0827" w:rsidRPr="001D52A0" w:rsidRDefault="000F0827" w:rsidP="00DF1B08">
            <w:pP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 xml:space="preserve">Funding of strategic projects per Finance Strategy  </w:t>
            </w:r>
          </w:p>
        </w:tc>
        <w:tc>
          <w:tcPr>
            <w:tcW w:w="1464" w:type="dxa"/>
            <w:tcBorders>
              <w:top w:val="single" w:sz="4" w:space="0" w:color="auto"/>
              <w:left w:val="single" w:sz="4" w:space="0" w:color="auto"/>
              <w:bottom w:val="single" w:sz="4" w:space="0" w:color="auto"/>
              <w:right w:val="single" w:sz="4" w:space="0" w:color="auto"/>
            </w:tcBorders>
            <w:vAlign w:val="center"/>
          </w:tcPr>
          <w:p w14:paraId="75A3C4F3" w14:textId="1973DE2A" w:rsidR="000F0827" w:rsidRPr="001D52A0" w:rsidRDefault="00EC001E" w:rsidP="002868AE">
            <w:pPr>
              <w:jc w:val="righ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(127</w:t>
            </w:r>
            <w:r w:rsidR="000F0827" w:rsidRPr="001D52A0">
              <w:rPr>
                <w:rFonts w:asciiTheme="minorHAnsi" w:hAnsiTheme="minorHAnsi" w:cs="Arial"/>
                <w:color w:val="000000"/>
                <w:sz w:val="22"/>
                <w:szCs w:val="22"/>
                <w:lang w:eastAsia="en-GB"/>
              </w:rPr>
              <w:t>)</w:t>
            </w:r>
          </w:p>
        </w:tc>
      </w:tr>
      <w:tr w:rsidR="00F730D2" w:rsidRPr="001D52A0" w14:paraId="1BD928D3" w14:textId="77777777" w:rsidTr="009605A8">
        <w:trPr>
          <w:trHeight w:val="561"/>
        </w:trPr>
        <w:tc>
          <w:tcPr>
            <w:tcW w:w="1452" w:type="dxa"/>
            <w:tcBorders>
              <w:top w:val="single" w:sz="4" w:space="0" w:color="auto"/>
            </w:tcBorders>
            <w:shd w:val="clear" w:color="auto" w:fill="auto"/>
            <w:vAlign w:val="center"/>
          </w:tcPr>
          <w:p w14:paraId="529EEBDC" w14:textId="77777777" w:rsidR="00F730D2" w:rsidRPr="001D52A0" w:rsidRDefault="00F730D2" w:rsidP="0096784A">
            <w:pPr>
              <w:rPr>
                <w:rFonts w:asciiTheme="minorHAnsi" w:hAnsiTheme="minorHAnsi" w:cs="Arial"/>
                <w:color w:val="000000"/>
                <w:sz w:val="22"/>
                <w:szCs w:val="22"/>
                <w:lang w:eastAsia="en-GB"/>
              </w:rPr>
            </w:pPr>
          </w:p>
        </w:tc>
        <w:tc>
          <w:tcPr>
            <w:tcW w:w="6014" w:type="dxa"/>
            <w:tcBorders>
              <w:top w:val="single" w:sz="4" w:space="0" w:color="auto"/>
              <w:right w:val="single" w:sz="4" w:space="0" w:color="auto"/>
            </w:tcBorders>
            <w:vAlign w:val="center"/>
          </w:tcPr>
          <w:p w14:paraId="35CB4AE9" w14:textId="77777777" w:rsidR="00F730D2" w:rsidRPr="001D52A0" w:rsidRDefault="00F730D2" w:rsidP="00BB4D00">
            <w:pPr>
              <w:rPr>
                <w:rFonts w:asciiTheme="minorHAnsi" w:hAnsiTheme="minorHAnsi" w:cs="Arial"/>
                <w:color w:val="000000"/>
                <w:sz w:val="22"/>
                <w:szCs w:val="22"/>
                <w:lang w:eastAsia="en-GB"/>
              </w:rPr>
            </w:pPr>
          </w:p>
        </w:tc>
        <w:tc>
          <w:tcPr>
            <w:tcW w:w="1464" w:type="dxa"/>
            <w:tcBorders>
              <w:top w:val="single" w:sz="4" w:space="0" w:color="auto"/>
              <w:left w:val="single" w:sz="4" w:space="0" w:color="auto"/>
              <w:bottom w:val="single" w:sz="4" w:space="0" w:color="auto"/>
              <w:right w:val="single" w:sz="4" w:space="0" w:color="auto"/>
            </w:tcBorders>
            <w:vAlign w:val="center"/>
          </w:tcPr>
          <w:p w14:paraId="5305AD60" w14:textId="6397D693" w:rsidR="00F730D2" w:rsidRPr="001D52A0" w:rsidRDefault="00EC001E" w:rsidP="00EC001E">
            <w:pPr>
              <w:jc w:val="right"/>
              <w:rPr>
                <w:rFonts w:asciiTheme="minorHAnsi" w:hAnsiTheme="minorHAnsi" w:cs="Arial"/>
                <w:b/>
                <w:color w:val="000000"/>
                <w:sz w:val="22"/>
                <w:szCs w:val="22"/>
                <w:lang w:eastAsia="en-GB"/>
              </w:rPr>
            </w:pPr>
            <w:r w:rsidRPr="001D52A0">
              <w:rPr>
                <w:rFonts w:asciiTheme="minorHAnsi" w:hAnsiTheme="minorHAnsi" w:cs="Arial"/>
                <w:b/>
                <w:color w:val="000000"/>
                <w:sz w:val="22"/>
                <w:szCs w:val="22"/>
                <w:lang w:eastAsia="en-GB"/>
              </w:rPr>
              <w:t>45</w:t>
            </w:r>
          </w:p>
        </w:tc>
      </w:tr>
    </w:tbl>
    <w:p w14:paraId="00890770" w14:textId="7467BEE6" w:rsidR="00357A17" w:rsidRDefault="00357A17" w:rsidP="00D17044">
      <w:pPr>
        <w:numPr>
          <w:ilvl w:val="1"/>
          <w:numId w:val="34"/>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 xml:space="preserve">Within the 2023/24 budget, the Authority had identified </w:t>
      </w:r>
      <w:r w:rsidR="006A0529" w:rsidRPr="001D52A0">
        <w:rPr>
          <w:rFonts w:asciiTheme="minorHAnsi" w:hAnsiTheme="minorHAnsi" w:cs="Arial"/>
          <w:sz w:val="22"/>
          <w:szCs w:val="22"/>
        </w:rPr>
        <w:t xml:space="preserve">business as usual </w:t>
      </w:r>
      <w:r w:rsidRPr="001D52A0">
        <w:rPr>
          <w:rFonts w:asciiTheme="minorHAnsi" w:hAnsiTheme="minorHAnsi" w:cs="Arial"/>
          <w:sz w:val="22"/>
          <w:szCs w:val="22"/>
        </w:rPr>
        <w:t>savings as per below.  Commentary has been added in the table to show progress on these savings.</w:t>
      </w:r>
    </w:p>
    <w:p w14:paraId="4B1373B7" w14:textId="444B1E8E" w:rsidR="006D1588" w:rsidRDefault="006D1588" w:rsidP="006D1588">
      <w:pPr>
        <w:autoSpaceDE w:val="0"/>
        <w:autoSpaceDN w:val="0"/>
        <w:adjustRightInd w:val="0"/>
        <w:spacing w:before="240" w:after="120"/>
        <w:ind w:left="312"/>
        <w:jc w:val="both"/>
        <w:rPr>
          <w:rFonts w:asciiTheme="minorHAnsi" w:hAnsiTheme="minorHAnsi" w:cs="Arial"/>
          <w:sz w:val="22"/>
          <w:szCs w:val="22"/>
        </w:rPr>
      </w:pPr>
    </w:p>
    <w:p w14:paraId="10DFF6B8" w14:textId="7B08AF1B" w:rsidR="006D1588" w:rsidRDefault="006D1588" w:rsidP="006D1588">
      <w:pPr>
        <w:autoSpaceDE w:val="0"/>
        <w:autoSpaceDN w:val="0"/>
        <w:adjustRightInd w:val="0"/>
        <w:spacing w:before="240" w:after="120"/>
        <w:ind w:left="312"/>
        <w:jc w:val="both"/>
        <w:rPr>
          <w:rFonts w:asciiTheme="minorHAnsi" w:hAnsiTheme="minorHAnsi" w:cs="Arial"/>
          <w:sz w:val="22"/>
          <w:szCs w:val="22"/>
        </w:rPr>
      </w:pPr>
    </w:p>
    <w:p w14:paraId="20415E25" w14:textId="5AFBA9E7" w:rsidR="006D1588" w:rsidRDefault="006D1588" w:rsidP="006D1588">
      <w:pPr>
        <w:autoSpaceDE w:val="0"/>
        <w:autoSpaceDN w:val="0"/>
        <w:adjustRightInd w:val="0"/>
        <w:spacing w:before="240" w:after="120"/>
        <w:ind w:left="312"/>
        <w:jc w:val="both"/>
        <w:rPr>
          <w:rFonts w:asciiTheme="minorHAnsi" w:hAnsiTheme="minorHAnsi" w:cs="Arial"/>
          <w:sz w:val="22"/>
          <w:szCs w:val="22"/>
        </w:rPr>
      </w:pPr>
    </w:p>
    <w:tbl>
      <w:tblPr>
        <w:tblStyle w:val="TableGrid"/>
        <w:tblW w:w="0" w:type="auto"/>
        <w:tblLook w:val="04A0" w:firstRow="1" w:lastRow="0" w:firstColumn="1" w:lastColumn="0" w:noHBand="0" w:noVBand="1"/>
      </w:tblPr>
      <w:tblGrid>
        <w:gridCol w:w="1818"/>
        <w:gridCol w:w="2967"/>
        <w:gridCol w:w="1408"/>
        <w:gridCol w:w="1761"/>
        <w:gridCol w:w="2240"/>
      </w:tblGrid>
      <w:tr w:rsidR="006D1588" w:rsidRPr="006D1588" w14:paraId="227F24F0" w14:textId="77777777" w:rsidTr="004D5853">
        <w:trPr>
          <w:trHeight w:val="300"/>
        </w:trPr>
        <w:tc>
          <w:tcPr>
            <w:tcW w:w="1822" w:type="dxa"/>
            <w:noWrap/>
            <w:hideMark/>
          </w:tcPr>
          <w:p w14:paraId="430A497C" w14:textId="77777777" w:rsidR="006D1588" w:rsidRPr="006D1588" w:rsidRDefault="006D1588" w:rsidP="006D1588">
            <w:pPr>
              <w:autoSpaceDE w:val="0"/>
              <w:autoSpaceDN w:val="0"/>
              <w:adjustRightInd w:val="0"/>
              <w:ind w:left="312"/>
              <w:jc w:val="both"/>
              <w:rPr>
                <w:rFonts w:asciiTheme="minorHAnsi" w:hAnsiTheme="minorHAnsi" w:cs="Arial"/>
                <w:b/>
                <w:bCs/>
                <w:sz w:val="22"/>
                <w:szCs w:val="22"/>
              </w:rPr>
            </w:pPr>
            <w:r w:rsidRPr="006D1588">
              <w:rPr>
                <w:rFonts w:asciiTheme="minorHAnsi" w:hAnsiTheme="minorHAnsi" w:cs="Arial"/>
                <w:b/>
                <w:bCs/>
                <w:sz w:val="22"/>
                <w:szCs w:val="22"/>
              </w:rPr>
              <w:t>Area</w:t>
            </w:r>
          </w:p>
        </w:tc>
        <w:tc>
          <w:tcPr>
            <w:tcW w:w="2975" w:type="dxa"/>
            <w:noWrap/>
            <w:hideMark/>
          </w:tcPr>
          <w:p w14:paraId="7CB1E26D" w14:textId="77777777" w:rsidR="006D1588" w:rsidRPr="006D1588" w:rsidRDefault="006D1588" w:rsidP="006D1588">
            <w:pPr>
              <w:autoSpaceDE w:val="0"/>
              <w:autoSpaceDN w:val="0"/>
              <w:adjustRightInd w:val="0"/>
              <w:ind w:left="312"/>
              <w:jc w:val="both"/>
              <w:rPr>
                <w:rFonts w:asciiTheme="minorHAnsi" w:hAnsiTheme="minorHAnsi" w:cs="Arial"/>
                <w:b/>
                <w:bCs/>
                <w:sz w:val="22"/>
                <w:szCs w:val="22"/>
              </w:rPr>
            </w:pPr>
            <w:r w:rsidRPr="006D1588">
              <w:rPr>
                <w:rFonts w:asciiTheme="minorHAnsi" w:hAnsiTheme="minorHAnsi" w:cs="Arial"/>
                <w:b/>
                <w:bCs/>
                <w:sz w:val="22"/>
                <w:szCs w:val="22"/>
              </w:rPr>
              <w:t>Explanation</w:t>
            </w:r>
          </w:p>
        </w:tc>
        <w:tc>
          <w:tcPr>
            <w:tcW w:w="1400" w:type="dxa"/>
            <w:noWrap/>
            <w:hideMark/>
          </w:tcPr>
          <w:p w14:paraId="4F485B45" w14:textId="77777777" w:rsidR="006D1588" w:rsidRPr="006D1588" w:rsidRDefault="006D1588" w:rsidP="006D1588">
            <w:pPr>
              <w:autoSpaceDE w:val="0"/>
              <w:autoSpaceDN w:val="0"/>
              <w:adjustRightInd w:val="0"/>
              <w:ind w:left="312"/>
              <w:jc w:val="both"/>
              <w:rPr>
                <w:rFonts w:asciiTheme="minorHAnsi" w:hAnsiTheme="minorHAnsi" w:cs="Arial"/>
                <w:b/>
                <w:bCs/>
                <w:sz w:val="22"/>
                <w:szCs w:val="22"/>
              </w:rPr>
            </w:pPr>
            <w:r w:rsidRPr="006D1588">
              <w:rPr>
                <w:rFonts w:asciiTheme="minorHAnsi" w:hAnsiTheme="minorHAnsi" w:cs="Arial"/>
                <w:b/>
                <w:bCs/>
                <w:sz w:val="22"/>
                <w:szCs w:val="22"/>
              </w:rPr>
              <w:t>Savings identified (£'000)</w:t>
            </w:r>
          </w:p>
        </w:tc>
        <w:tc>
          <w:tcPr>
            <w:tcW w:w="1751" w:type="dxa"/>
            <w:noWrap/>
            <w:hideMark/>
          </w:tcPr>
          <w:p w14:paraId="25E240A8" w14:textId="77777777" w:rsidR="006D1588" w:rsidRPr="006D1588" w:rsidRDefault="006D1588" w:rsidP="006D1588">
            <w:pPr>
              <w:autoSpaceDE w:val="0"/>
              <w:autoSpaceDN w:val="0"/>
              <w:adjustRightInd w:val="0"/>
              <w:ind w:left="312"/>
              <w:jc w:val="both"/>
              <w:rPr>
                <w:rFonts w:asciiTheme="minorHAnsi" w:hAnsiTheme="minorHAnsi" w:cs="Arial"/>
                <w:b/>
                <w:bCs/>
                <w:sz w:val="22"/>
                <w:szCs w:val="22"/>
              </w:rPr>
            </w:pPr>
            <w:r w:rsidRPr="006D1588">
              <w:rPr>
                <w:rFonts w:asciiTheme="minorHAnsi" w:hAnsiTheme="minorHAnsi" w:cs="Arial"/>
                <w:b/>
                <w:bCs/>
                <w:sz w:val="22"/>
                <w:szCs w:val="22"/>
              </w:rPr>
              <w:t>Savings/costs realised (£'000)</w:t>
            </w:r>
          </w:p>
        </w:tc>
        <w:tc>
          <w:tcPr>
            <w:tcW w:w="2246" w:type="dxa"/>
            <w:noWrap/>
            <w:hideMark/>
          </w:tcPr>
          <w:p w14:paraId="73D737A8" w14:textId="77777777" w:rsidR="006D1588" w:rsidRPr="006D1588" w:rsidRDefault="006D1588" w:rsidP="006D1588">
            <w:pPr>
              <w:autoSpaceDE w:val="0"/>
              <w:autoSpaceDN w:val="0"/>
              <w:adjustRightInd w:val="0"/>
              <w:ind w:left="312"/>
              <w:jc w:val="both"/>
              <w:rPr>
                <w:rFonts w:asciiTheme="minorHAnsi" w:hAnsiTheme="minorHAnsi" w:cs="Arial"/>
                <w:b/>
                <w:bCs/>
                <w:sz w:val="22"/>
                <w:szCs w:val="22"/>
              </w:rPr>
            </w:pPr>
            <w:r w:rsidRPr="006D1588">
              <w:rPr>
                <w:rFonts w:asciiTheme="minorHAnsi" w:hAnsiTheme="minorHAnsi" w:cs="Arial"/>
                <w:b/>
                <w:bCs/>
                <w:sz w:val="22"/>
                <w:szCs w:val="22"/>
              </w:rPr>
              <w:t>Commentary</w:t>
            </w:r>
          </w:p>
        </w:tc>
      </w:tr>
      <w:tr w:rsidR="006D1588" w:rsidRPr="006D1588" w14:paraId="63987D65" w14:textId="77777777" w:rsidTr="004D5853">
        <w:trPr>
          <w:trHeight w:val="4700"/>
        </w:trPr>
        <w:tc>
          <w:tcPr>
            <w:tcW w:w="1822" w:type="dxa"/>
            <w:noWrap/>
            <w:hideMark/>
          </w:tcPr>
          <w:p w14:paraId="02B8DD3D" w14:textId="77777777" w:rsidR="006D1588" w:rsidRPr="006D1588" w:rsidRDefault="006D1588" w:rsidP="006D1588">
            <w:pPr>
              <w:autoSpaceDE w:val="0"/>
              <w:autoSpaceDN w:val="0"/>
              <w:adjustRightInd w:val="0"/>
              <w:ind w:left="312"/>
              <w:jc w:val="both"/>
              <w:rPr>
                <w:rFonts w:asciiTheme="minorHAnsi" w:hAnsiTheme="minorHAnsi" w:cs="Arial"/>
                <w:sz w:val="22"/>
                <w:szCs w:val="22"/>
              </w:rPr>
            </w:pPr>
            <w:r w:rsidRPr="006D1588">
              <w:rPr>
                <w:rFonts w:asciiTheme="minorHAnsi" w:hAnsiTheme="minorHAnsi" w:cs="Arial"/>
                <w:sz w:val="22"/>
                <w:szCs w:val="22"/>
              </w:rPr>
              <w:t>Waste Transport and Disposal</w:t>
            </w:r>
          </w:p>
        </w:tc>
        <w:tc>
          <w:tcPr>
            <w:tcW w:w="2975" w:type="dxa"/>
            <w:hideMark/>
          </w:tcPr>
          <w:p w14:paraId="090C1CAB" w14:textId="77777777" w:rsidR="006D1588" w:rsidRPr="006D1588" w:rsidRDefault="006D1588" w:rsidP="006D1588">
            <w:pPr>
              <w:autoSpaceDE w:val="0"/>
              <w:autoSpaceDN w:val="0"/>
              <w:adjustRightInd w:val="0"/>
              <w:ind w:left="312"/>
              <w:jc w:val="both"/>
              <w:rPr>
                <w:rFonts w:asciiTheme="minorHAnsi" w:hAnsiTheme="minorHAnsi" w:cs="Arial"/>
                <w:sz w:val="22"/>
                <w:szCs w:val="22"/>
              </w:rPr>
            </w:pPr>
            <w:r w:rsidRPr="006D1588">
              <w:rPr>
                <w:rFonts w:asciiTheme="minorHAnsi" w:hAnsiTheme="minorHAnsi" w:cs="Arial"/>
                <w:sz w:val="22"/>
                <w:szCs w:val="22"/>
              </w:rPr>
              <w:t xml:space="preserve">Reduction in residual volumes (£1,612,000), reduction in mattress volumes (£257,000) and better pricing achieved from procurement of green waste (£270,000) </w:t>
            </w:r>
          </w:p>
        </w:tc>
        <w:tc>
          <w:tcPr>
            <w:tcW w:w="1400" w:type="dxa"/>
            <w:noWrap/>
            <w:hideMark/>
          </w:tcPr>
          <w:p w14:paraId="30B485BF" w14:textId="77777777" w:rsidR="006D1588" w:rsidRPr="006D1588" w:rsidRDefault="006D1588" w:rsidP="006D1588">
            <w:pPr>
              <w:autoSpaceDE w:val="0"/>
              <w:autoSpaceDN w:val="0"/>
              <w:adjustRightInd w:val="0"/>
              <w:ind w:left="312"/>
              <w:jc w:val="both"/>
              <w:rPr>
                <w:rFonts w:asciiTheme="minorHAnsi" w:hAnsiTheme="minorHAnsi" w:cs="Arial"/>
                <w:sz w:val="22"/>
                <w:szCs w:val="22"/>
              </w:rPr>
            </w:pPr>
            <w:r w:rsidRPr="006D1588">
              <w:rPr>
                <w:rFonts w:asciiTheme="minorHAnsi" w:hAnsiTheme="minorHAnsi" w:cs="Arial"/>
                <w:sz w:val="22"/>
                <w:szCs w:val="22"/>
              </w:rPr>
              <w:t>(2,139)</w:t>
            </w:r>
          </w:p>
        </w:tc>
        <w:tc>
          <w:tcPr>
            <w:tcW w:w="1751" w:type="dxa"/>
            <w:hideMark/>
          </w:tcPr>
          <w:p w14:paraId="187BAEA5" w14:textId="77777777" w:rsidR="006D1588" w:rsidRPr="006D1588" w:rsidRDefault="006D1588" w:rsidP="006D1588">
            <w:pPr>
              <w:autoSpaceDE w:val="0"/>
              <w:autoSpaceDN w:val="0"/>
              <w:adjustRightInd w:val="0"/>
              <w:ind w:left="312"/>
              <w:jc w:val="both"/>
              <w:rPr>
                <w:rFonts w:asciiTheme="minorHAnsi" w:hAnsiTheme="minorHAnsi" w:cs="Arial"/>
                <w:sz w:val="22"/>
                <w:szCs w:val="22"/>
              </w:rPr>
            </w:pPr>
            <w:r w:rsidRPr="006D1588">
              <w:rPr>
                <w:rFonts w:asciiTheme="minorHAnsi" w:hAnsiTheme="minorHAnsi" w:cs="Arial"/>
                <w:sz w:val="22"/>
                <w:szCs w:val="22"/>
              </w:rPr>
              <w:t>(613)</w:t>
            </w:r>
          </w:p>
        </w:tc>
        <w:tc>
          <w:tcPr>
            <w:tcW w:w="2246" w:type="dxa"/>
            <w:hideMark/>
          </w:tcPr>
          <w:p w14:paraId="5BE7B85C" w14:textId="77777777" w:rsidR="006D1588" w:rsidRPr="006D1588" w:rsidRDefault="006D1588" w:rsidP="006D1588">
            <w:pPr>
              <w:autoSpaceDE w:val="0"/>
              <w:autoSpaceDN w:val="0"/>
              <w:adjustRightInd w:val="0"/>
              <w:ind w:left="312"/>
              <w:jc w:val="both"/>
              <w:rPr>
                <w:rFonts w:asciiTheme="minorHAnsi" w:hAnsiTheme="minorHAnsi" w:cs="Arial"/>
                <w:sz w:val="22"/>
                <w:szCs w:val="22"/>
              </w:rPr>
            </w:pPr>
            <w:r w:rsidRPr="006D1588">
              <w:rPr>
                <w:rFonts w:asciiTheme="minorHAnsi" w:hAnsiTheme="minorHAnsi" w:cs="Arial"/>
                <w:sz w:val="22"/>
                <w:szCs w:val="22"/>
              </w:rPr>
              <w:t xml:space="preserve">Savings have been tracked on the residual contract year to date and an estimated £1.5m will be saved.  Mattresses have seen an increase in units meaning the run rate to Mar24 shows that there will be an additional 44,000 units, meaning spend is predicted to be £227,000 higher than budgeted.  Green waste has seen an increase in tonnages of c. 17,000 meaning a run rate budget overspend of c. £600,000. </w:t>
            </w:r>
          </w:p>
        </w:tc>
      </w:tr>
      <w:tr w:rsidR="006D1588" w:rsidRPr="006D1588" w14:paraId="4A9514F1" w14:textId="77777777" w:rsidTr="004D5853">
        <w:trPr>
          <w:trHeight w:val="2100"/>
        </w:trPr>
        <w:tc>
          <w:tcPr>
            <w:tcW w:w="1822" w:type="dxa"/>
            <w:noWrap/>
            <w:hideMark/>
          </w:tcPr>
          <w:p w14:paraId="6C0F7749" w14:textId="77777777" w:rsidR="006D1588" w:rsidRPr="006D1588" w:rsidRDefault="006D1588" w:rsidP="006D1588">
            <w:pPr>
              <w:autoSpaceDE w:val="0"/>
              <w:autoSpaceDN w:val="0"/>
              <w:adjustRightInd w:val="0"/>
              <w:ind w:left="312"/>
              <w:jc w:val="both"/>
              <w:rPr>
                <w:rFonts w:asciiTheme="minorHAnsi" w:hAnsiTheme="minorHAnsi" w:cs="Arial"/>
                <w:sz w:val="22"/>
                <w:szCs w:val="22"/>
              </w:rPr>
            </w:pPr>
            <w:r w:rsidRPr="006D1588">
              <w:rPr>
                <w:rFonts w:asciiTheme="minorHAnsi" w:hAnsiTheme="minorHAnsi" w:cs="Arial"/>
                <w:sz w:val="22"/>
                <w:szCs w:val="22"/>
              </w:rPr>
              <w:t>Premises</w:t>
            </w:r>
          </w:p>
        </w:tc>
        <w:tc>
          <w:tcPr>
            <w:tcW w:w="2975" w:type="dxa"/>
            <w:hideMark/>
          </w:tcPr>
          <w:p w14:paraId="2860256E" w14:textId="77777777" w:rsidR="006D1588" w:rsidRPr="006D1588" w:rsidRDefault="006D1588" w:rsidP="006D1588">
            <w:pPr>
              <w:autoSpaceDE w:val="0"/>
              <w:autoSpaceDN w:val="0"/>
              <w:adjustRightInd w:val="0"/>
              <w:ind w:left="312"/>
              <w:jc w:val="both"/>
              <w:rPr>
                <w:rFonts w:asciiTheme="minorHAnsi" w:hAnsiTheme="minorHAnsi" w:cs="Arial"/>
                <w:sz w:val="22"/>
                <w:szCs w:val="22"/>
              </w:rPr>
            </w:pPr>
            <w:r w:rsidRPr="006D1588">
              <w:rPr>
                <w:rFonts w:asciiTheme="minorHAnsi" w:hAnsiTheme="minorHAnsi" w:cs="Arial"/>
                <w:sz w:val="22"/>
                <w:szCs w:val="22"/>
              </w:rPr>
              <w:t>Reduction in SERC related premises costs (£69,000)</w:t>
            </w:r>
          </w:p>
        </w:tc>
        <w:tc>
          <w:tcPr>
            <w:tcW w:w="1400" w:type="dxa"/>
            <w:noWrap/>
            <w:hideMark/>
          </w:tcPr>
          <w:p w14:paraId="0B88B4D2" w14:textId="77777777" w:rsidR="006D1588" w:rsidRPr="006D1588" w:rsidRDefault="006D1588" w:rsidP="006D1588">
            <w:pPr>
              <w:autoSpaceDE w:val="0"/>
              <w:autoSpaceDN w:val="0"/>
              <w:adjustRightInd w:val="0"/>
              <w:ind w:left="312"/>
              <w:jc w:val="both"/>
              <w:rPr>
                <w:rFonts w:asciiTheme="minorHAnsi" w:hAnsiTheme="minorHAnsi" w:cs="Arial"/>
                <w:sz w:val="22"/>
                <w:szCs w:val="22"/>
              </w:rPr>
            </w:pPr>
            <w:r w:rsidRPr="006D1588">
              <w:rPr>
                <w:rFonts w:asciiTheme="minorHAnsi" w:hAnsiTheme="minorHAnsi" w:cs="Arial"/>
                <w:sz w:val="22"/>
                <w:szCs w:val="22"/>
              </w:rPr>
              <w:t>(69)</w:t>
            </w:r>
          </w:p>
        </w:tc>
        <w:tc>
          <w:tcPr>
            <w:tcW w:w="1751" w:type="dxa"/>
            <w:hideMark/>
          </w:tcPr>
          <w:p w14:paraId="168D9730" w14:textId="77777777" w:rsidR="006D1588" w:rsidRPr="006D1588" w:rsidRDefault="006D1588" w:rsidP="006D1588">
            <w:pPr>
              <w:autoSpaceDE w:val="0"/>
              <w:autoSpaceDN w:val="0"/>
              <w:adjustRightInd w:val="0"/>
              <w:ind w:left="312"/>
              <w:jc w:val="both"/>
              <w:rPr>
                <w:rFonts w:asciiTheme="minorHAnsi" w:hAnsiTheme="minorHAnsi" w:cs="Arial"/>
                <w:sz w:val="22"/>
                <w:szCs w:val="22"/>
              </w:rPr>
            </w:pPr>
            <w:r w:rsidRPr="006D1588">
              <w:rPr>
                <w:rFonts w:asciiTheme="minorHAnsi" w:hAnsiTheme="minorHAnsi" w:cs="Arial"/>
                <w:sz w:val="22"/>
                <w:szCs w:val="22"/>
              </w:rPr>
              <w:t>600</w:t>
            </w:r>
          </w:p>
        </w:tc>
        <w:tc>
          <w:tcPr>
            <w:tcW w:w="2246" w:type="dxa"/>
            <w:hideMark/>
          </w:tcPr>
          <w:p w14:paraId="50EDB712" w14:textId="77777777" w:rsidR="006D1588" w:rsidRPr="006D1588" w:rsidRDefault="006D1588" w:rsidP="006D1588">
            <w:pPr>
              <w:autoSpaceDE w:val="0"/>
              <w:autoSpaceDN w:val="0"/>
              <w:adjustRightInd w:val="0"/>
              <w:ind w:left="312"/>
              <w:jc w:val="both"/>
              <w:rPr>
                <w:rFonts w:asciiTheme="minorHAnsi" w:hAnsiTheme="minorHAnsi" w:cs="Arial"/>
                <w:sz w:val="22"/>
                <w:szCs w:val="22"/>
              </w:rPr>
            </w:pPr>
            <w:r w:rsidRPr="006D1588">
              <w:rPr>
                <w:rFonts w:asciiTheme="minorHAnsi" w:hAnsiTheme="minorHAnsi" w:cs="Arial"/>
                <w:sz w:val="22"/>
                <w:szCs w:val="22"/>
              </w:rPr>
              <w:t>The higher than budgeted business rates following national valuations saw an increase in spend at the SERC site of over £600,000.</w:t>
            </w:r>
          </w:p>
        </w:tc>
      </w:tr>
      <w:tr w:rsidR="006D1588" w:rsidRPr="006D1588" w14:paraId="31706CAD" w14:textId="77777777" w:rsidTr="004D5853">
        <w:trPr>
          <w:trHeight w:val="2100"/>
        </w:trPr>
        <w:tc>
          <w:tcPr>
            <w:tcW w:w="1822" w:type="dxa"/>
            <w:noWrap/>
            <w:hideMark/>
          </w:tcPr>
          <w:p w14:paraId="54512E80" w14:textId="77777777" w:rsidR="006D1588" w:rsidRPr="006D1588" w:rsidRDefault="006D1588" w:rsidP="006D1588">
            <w:pPr>
              <w:autoSpaceDE w:val="0"/>
              <w:autoSpaceDN w:val="0"/>
              <w:adjustRightInd w:val="0"/>
              <w:ind w:left="312"/>
              <w:jc w:val="both"/>
              <w:rPr>
                <w:rFonts w:asciiTheme="minorHAnsi" w:hAnsiTheme="minorHAnsi" w:cs="Arial"/>
                <w:sz w:val="22"/>
                <w:szCs w:val="22"/>
              </w:rPr>
            </w:pPr>
            <w:r w:rsidRPr="006D1588">
              <w:rPr>
                <w:rFonts w:asciiTheme="minorHAnsi" w:hAnsiTheme="minorHAnsi" w:cs="Arial"/>
                <w:sz w:val="22"/>
                <w:szCs w:val="22"/>
              </w:rPr>
              <w:t>Supplies and Services</w:t>
            </w:r>
          </w:p>
        </w:tc>
        <w:tc>
          <w:tcPr>
            <w:tcW w:w="2975" w:type="dxa"/>
            <w:hideMark/>
          </w:tcPr>
          <w:p w14:paraId="4971D33E" w14:textId="77777777" w:rsidR="006D1588" w:rsidRPr="006D1588" w:rsidRDefault="006D1588" w:rsidP="006D1588">
            <w:pPr>
              <w:autoSpaceDE w:val="0"/>
              <w:autoSpaceDN w:val="0"/>
              <w:adjustRightInd w:val="0"/>
              <w:ind w:left="312"/>
              <w:jc w:val="both"/>
              <w:rPr>
                <w:rFonts w:asciiTheme="minorHAnsi" w:hAnsiTheme="minorHAnsi" w:cs="Arial"/>
                <w:sz w:val="22"/>
                <w:szCs w:val="22"/>
              </w:rPr>
            </w:pPr>
            <w:r w:rsidRPr="006D1588">
              <w:rPr>
                <w:rFonts w:asciiTheme="minorHAnsi" w:hAnsiTheme="minorHAnsi" w:cs="Arial"/>
                <w:sz w:val="22"/>
                <w:szCs w:val="22"/>
              </w:rPr>
              <w:t>Stripping out of unspent minor budgets (£11,000)</w:t>
            </w:r>
          </w:p>
        </w:tc>
        <w:tc>
          <w:tcPr>
            <w:tcW w:w="1400" w:type="dxa"/>
            <w:noWrap/>
            <w:hideMark/>
          </w:tcPr>
          <w:p w14:paraId="2EC1DD32" w14:textId="77777777" w:rsidR="006D1588" w:rsidRPr="006D1588" w:rsidRDefault="006D1588" w:rsidP="006D1588">
            <w:pPr>
              <w:autoSpaceDE w:val="0"/>
              <w:autoSpaceDN w:val="0"/>
              <w:adjustRightInd w:val="0"/>
              <w:ind w:left="312"/>
              <w:jc w:val="both"/>
              <w:rPr>
                <w:rFonts w:asciiTheme="minorHAnsi" w:hAnsiTheme="minorHAnsi" w:cs="Arial"/>
                <w:sz w:val="22"/>
                <w:szCs w:val="22"/>
              </w:rPr>
            </w:pPr>
            <w:r w:rsidRPr="006D1588">
              <w:rPr>
                <w:rFonts w:asciiTheme="minorHAnsi" w:hAnsiTheme="minorHAnsi" w:cs="Arial"/>
                <w:sz w:val="22"/>
                <w:szCs w:val="22"/>
              </w:rPr>
              <w:t>(11)</w:t>
            </w:r>
          </w:p>
        </w:tc>
        <w:tc>
          <w:tcPr>
            <w:tcW w:w="1751" w:type="dxa"/>
            <w:hideMark/>
          </w:tcPr>
          <w:p w14:paraId="5E4FA1AD" w14:textId="77777777" w:rsidR="006D1588" w:rsidRPr="006D1588" w:rsidRDefault="006D1588" w:rsidP="006D1588">
            <w:pPr>
              <w:autoSpaceDE w:val="0"/>
              <w:autoSpaceDN w:val="0"/>
              <w:adjustRightInd w:val="0"/>
              <w:ind w:left="312"/>
              <w:jc w:val="both"/>
              <w:rPr>
                <w:rFonts w:asciiTheme="minorHAnsi" w:hAnsiTheme="minorHAnsi" w:cs="Arial"/>
                <w:sz w:val="22"/>
                <w:szCs w:val="22"/>
              </w:rPr>
            </w:pPr>
            <w:r w:rsidRPr="006D1588">
              <w:rPr>
                <w:rFonts w:asciiTheme="minorHAnsi" w:hAnsiTheme="minorHAnsi" w:cs="Arial"/>
                <w:sz w:val="22"/>
                <w:szCs w:val="22"/>
              </w:rPr>
              <w:t>100</w:t>
            </w:r>
          </w:p>
        </w:tc>
        <w:tc>
          <w:tcPr>
            <w:tcW w:w="2246" w:type="dxa"/>
            <w:hideMark/>
          </w:tcPr>
          <w:p w14:paraId="2FFA53DF" w14:textId="77777777" w:rsidR="006D1588" w:rsidRPr="006D1588" w:rsidRDefault="006D1588" w:rsidP="006D1588">
            <w:pPr>
              <w:autoSpaceDE w:val="0"/>
              <w:autoSpaceDN w:val="0"/>
              <w:adjustRightInd w:val="0"/>
              <w:ind w:left="312"/>
              <w:jc w:val="both"/>
              <w:rPr>
                <w:rFonts w:asciiTheme="minorHAnsi" w:hAnsiTheme="minorHAnsi" w:cs="Arial"/>
                <w:sz w:val="22"/>
                <w:szCs w:val="22"/>
              </w:rPr>
            </w:pPr>
            <w:r w:rsidRPr="006D1588">
              <w:rPr>
                <w:rFonts w:asciiTheme="minorHAnsi" w:hAnsiTheme="minorHAnsi" w:cs="Arial"/>
                <w:sz w:val="22"/>
                <w:szCs w:val="22"/>
              </w:rPr>
              <w:t>Savings made on stationery, consultancy and support services - £100,000 savings forecasted by end of Mar24.</w:t>
            </w:r>
          </w:p>
        </w:tc>
      </w:tr>
      <w:tr w:rsidR="006D1588" w:rsidRPr="006D1588" w14:paraId="6194F23B" w14:textId="77777777" w:rsidTr="004D5853">
        <w:trPr>
          <w:trHeight w:val="1815"/>
        </w:trPr>
        <w:tc>
          <w:tcPr>
            <w:tcW w:w="1822" w:type="dxa"/>
            <w:noWrap/>
            <w:hideMark/>
          </w:tcPr>
          <w:p w14:paraId="4105FA72" w14:textId="77777777" w:rsidR="006D1588" w:rsidRPr="006D1588" w:rsidRDefault="006D1588" w:rsidP="006D1588">
            <w:pPr>
              <w:autoSpaceDE w:val="0"/>
              <w:autoSpaceDN w:val="0"/>
              <w:adjustRightInd w:val="0"/>
              <w:ind w:left="312"/>
              <w:jc w:val="both"/>
              <w:rPr>
                <w:rFonts w:asciiTheme="minorHAnsi" w:hAnsiTheme="minorHAnsi" w:cs="Arial"/>
                <w:sz w:val="22"/>
                <w:szCs w:val="22"/>
              </w:rPr>
            </w:pPr>
            <w:r w:rsidRPr="006D1588">
              <w:rPr>
                <w:rFonts w:asciiTheme="minorHAnsi" w:hAnsiTheme="minorHAnsi" w:cs="Arial"/>
                <w:sz w:val="22"/>
                <w:szCs w:val="22"/>
              </w:rPr>
              <w:t>Other Income</w:t>
            </w:r>
          </w:p>
        </w:tc>
        <w:tc>
          <w:tcPr>
            <w:tcW w:w="2975" w:type="dxa"/>
            <w:hideMark/>
          </w:tcPr>
          <w:p w14:paraId="1D65B9D6" w14:textId="77777777" w:rsidR="006D1588" w:rsidRPr="006D1588" w:rsidRDefault="006D1588" w:rsidP="006D1588">
            <w:pPr>
              <w:autoSpaceDE w:val="0"/>
              <w:autoSpaceDN w:val="0"/>
              <w:adjustRightInd w:val="0"/>
              <w:ind w:left="312"/>
              <w:jc w:val="both"/>
              <w:rPr>
                <w:rFonts w:asciiTheme="minorHAnsi" w:hAnsiTheme="minorHAnsi" w:cs="Arial"/>
                <w:sz w:val="22"/>
                <w:szCs w:val="22"/>
              </w:rPr>
            </w:pPr>
            <w:r w:rsidRPr="006D1588">
              <w:rPr>
                <w:rFonts w:asciiTheme="minorHAnsi" w:hAnsiTheme="minorHAnsi" w:cs="Arial"/>
                <w:sz w:val="22"/>
                <w:szCs w:val="22"/>
              </w:rPr>
              <w:t>Growth in trade income (£400,000), sale of recyclables (£40,000) and other minor improvements (£14,000)</w:t>
            </w:r>
          </w:p>
        </w:tc>
        <w:tc>
          <w:tcPr>
            <w:tcW w:w="1400" w:type="dxa"/>
            <w:noWrap/>
            <w:hideMark/>
          </w:tcPr>
          <w:p w14:paraId="62971916" w14:textId="77777777" w:rsidR="006D1588" w:rsidRPr="006D1588" w:rsidRDefault="006D1588" w:rsidP="006D1588">
            <w:pPr>
              <w:autoSpaceDE w:val="0"/>
              <w:autoSpaceDN w:val="0"/>
              <w:adjustRightInd w:val="0"/>
              <w:ind w:left="312"/>
              <w:jc w:val="both"/>
              <w:rPr>
                <w:rFonts w:asciiTheme="minorHAnsi" w:hAnsiTheme="minorHAnsi" w:cs="Arial"/>
                <w:sz w:val="22"/>
                <w:szCs w:val="22"/>
              </w:rPr>
            </w:pPr>
            <w:r w:rsidRPr="006D1588">
              <w:rPr>
                <w:rFonts w:asciiTheme="minorHAnsi" w:hAnsiTheme="minorHAnsi" w:cs="Arial"/>
                <w:sz w:val="22"/>
                <w:szCs w:val="22"/>
              </w:rPr>
              <w:t>(454)</w:t>
            </w:r>
          </w:p>
        </w:tc>
        <w:tc>
          <w:tcPr>
            <w:tcW w:w="1751" w:type="dxa"/>
            <w:hideMark/>
          </w:tcPr>
          <w:p w14:paraId="59AA52BB" w14:textId="77777777" w:rsidR="006D1588" w:rsidRPr="006D1588" w:rsidRDefault="006D1588" w:rsidP="006D1588">
            <w:pPr>
              <w:autoSpaceDE w:val="0"/>
              <w:autoSpaceDN w:val="0"/>
              <w:adjustRightInd w:val="0"/>
              <w:ind w:left="312"/>
              <w:jc w:val="both"/>
              <w:rPr>
                <w:rFonts w:asciiTheme="minorHAnsi" w:hAnsiTheme="minorHAnsi" w:cs="Arial"/>
                <w:sz w:val="22"/>
                <w:szCs w:val="22"/>
              </w:rPr>
            </w:pPr>
            <w:r w:rsidRPr="006D1588">
              <w:rPr>
                <w:rFonts w:asciiTheme="minorHAnsi" w:hAnsiTheme="minorHAnsi" w:cs="Arial"/>
                <w:sz w:val="22"/>
                <w:szCs w:val="22"/>
              </w:rPr>
              <w:t>500</w:t>
            </w:r>
          </w:p>
        </w:tc>
        <w:tc>
          <w:tcPr>
            <w:tcW w:w="2246" w:type="dxa"/>
            <w:hideMark/>
          </w:tcPr>
          <w:p w14:paraId="7634C5CB" w14:textId="77777777" w:rsidR="006D1588" w:rsidRPr="006D1588" w:rsidRDefault="006D1588" w:rsidP="006D1588">
            <w:pPr>
              <w:autoSpaceDE w:val="0"/>
              <w:autoSpaceDN w:val="0"/>
              <w:adjustRightInd w:val="0"/>
              <w:ind w:left="312"/>
              <w:jc w:val="both"/>
              <w:rPr>
                <w:rFonts w:asciiTheme="minorHAnsi" w:hAnsiTheme="minorHAnsi" w:cs="Arial"/>
                <w:sz w:val="22"/>
                <w:szCs w:val="22"/>
              </w:rPr>
            </w:pPr>
            <w:r w:rsidRPr="006D1588">
              <w:rPr>
                <w:rFonts w:asciiTheme="minorHAnsi" w:hAnsiTheme="minorHAnsi" w:cs="Arial"/>
                <w:sz w:val="22"/>
                <w:szCs w:val="22"/>
              </w:rPr>
              <w:t>Trade waste income forecasted to end £500,000 higher than budgeted.</w:t>
            </w:r>
          </w:p>
        </w:tc>
      </w:tr>
      <w:tr w:rsidR="006D1588" w:rsidRPr="006D1588" w14:paraId="0E8CD5E4" w14:textId="77777777" w:rsidTr="004D5853">
        <w:trPr>
          <w:trHeight w:val="315"/>
        </w:trPr>
        <w:tc>
          <w:tcPr>
            <w:tcW w:w="1822" w:type="dxa"/>
            <w:noWrap/>
            <w:hideMark/>
          </w:tcPr>
          <w:p w14:paraId="2A1DBA72" w14:textId="77777777" w:rsidR="006D1588" w:rsidRPr="006D1588" w:rsidRDefault="006D1588" w:rsidP="006D1588">
            <w:pPr>
              <w:autoSpaceDE w:val="0"/>
              <w:autoSpaceDN w:val="0"/>
              <w:adjustRightInd w:val="0"/>
              <w:ind w:left="312"/>
              <w:jc w:val="both"/>
              <w:rPr>
                <w:rFonts w:asciiTheme="minorHAnsi" w:hAnsiTheme="minorHAnsi" w:cs="Arial"/>
                <w:b/>
                <w:bCs/>
                <w:sz w:val="22"/>
                <w:szCs w:val="22"/>
              </w:rPr>
            </w:pPr>
            <w:r w:rsidRPr="006D1588">
              <w:rPr>
                <w:rFonts w:asciiTheme="minorHAnsi" w:hAnsiTheme="minorHAnsi" w:cs="Arial"/>
                <w:b/>
                <w:bCs/>
                <w:sz w:val="22"/>
                <w:szCs w:val="22"/>
              </w:rPr>
              <w:t>Total savings</w:t>
            </w:r>
          </w:p>
        </w:tc>
        <w:tc>
          <w:tcPr>
            <w:tcW w:w="2975" w:type="dxa"/>
            <w:noWrap/>
            <w:hideMark/>
          </w:tcPr>
          <w:p w14:paraId="5186684D" w14:textId="77777777" w:rsidR="006D1588" w:rsidRPr="006D1588" w:rsidRDefault="006D1588" w:rsidP="006D1588">
            <w:pPr>
              <w:autoSpaceDE w:val="0"/>
              <w:autoSpaceDN w:val="0"/>
              <w:adjustRightInd w:val="0"/>
              <w:ind w:left="312"/>
              <w:jc w:val="both"/>
              <w:rPr>
                <w:rFonts w:asciiTheme="minorHAnsi" w:hAnsiTheme="minorHAnsi" w:cs="Arial"/>
                <w:sz w:val="22"/>
                <w:szCs w:val="22"/>
              </w:rPr>
            </w:pPr>
            <w:r w:rsidRPr="006D1588">
              <w:rPr>
                <w:rFonts w:asciiTheme="minorHAnsi" w:hAnsiTheme="minorHAnsi" w:cs="Arial"/>
                <w:sz w:val="22"/>
                <w:szCs w:val="22"/>
              </w:rPr>
              <w:t> </w:t>
            </w:r>
          </w:p>
        </w:tc>
        <w:tc>
          <w:tcPr>
            <w:tcW w:w="1400" w:type="dxa"/>
            <w:noWrap/>
            <w:hideMark/>
          </w:tcPr>
          <w:p w14:paraId="2C5C375A" w14:textId="77777777" w:rsidR="006D1588" w:rsidRPr="006D1588" w:rsidRDefault="006D1588" w:rsidP="006D1588">
            <w:pPr>
              <w:autoSpaceDE w:val="0"/>
              <w:autoSpaceDN w:val="0"/>
              <w:adjustRightInd w:val="0"/>
              <w:ind w:left="312"/>
              <w:jc w:val="both"/>
              <w:rPr>
                <w:rFonts w:asciiTheme="minorHAnsi" w:hAnsiTheme="minorHAnsi" w:cs="Arial"/>
                <w:b/>
                <w:bCs/>
                <w:sz w:val="22"/>
                <w:szCs w:val="22"/>
              </w:rPr>
            </w:pPr>
            <w:r w:rsidRPr="006D1588">
              <w:rPr>
                <w:rFonts w:asciiTheme="minorHAnsi" w:hAnsiTheme="minorHAnsi" w:cs="Arial"/>
                <w:b/>
                <w:bCs/>
                <w:sz w:val="22"/>
                <w:szCs w:val="22"/>
              </w:rPr>
              <w:t>(2,673)</w:t>
            </w:r>
          </w:p>
        </w:tc>
        <w:tc>
          <w:tcPr>
            <w:tcW w:w="1751" w:type="dxa"/>
            <w:noWrap/>
            <w:hideMark/>
          </w:tcPr>
          <w:p w14:paraId="68C44851" w14:textId="77777777" w:rsidR="006D1588" w:rsidRPr="006D1588" w:rsidRDefault="006D1588" w:rsidP="006D1588">
            <w:pPr>
              <w:autoSpaceDE w:val="0"/>
              <w:autoSpaceDN w:val="0"/>
              <w:adjustRightInd w:val="0"/>
              <w:ind w:left="312"/>
              <w:jc w:val="both"/>
              <w:rPr>
                <w:rFonts w:asciiTheme="minorHAnsi" w:hAnsiTheme="minorHAnsi" w:cs="Arial"/>
                <w:b/>
                <w:bCs/>
                <w:sz w:val="22"/>
                <w:szCs w:val="22"/>
              </w:rPr>
            </w:pPr>
            <w:r w:rsidRPr="006D1588">
              <w:rPr>
                <w:rFonts w:asciiTheme="minorHAnsi" w:hAnsiTheme="minorHAnsi" w:cs="Arial"/>
                <w:b/>
                <w:bCs/>
                <w:sz w:val="22"/>
                <w:szCs w:val="22"/>
              </w:rPr>
              <w:t>587</w:t>
            </w:r>
          </w:p>
        </w:tc>
        <w:tc>
          <w:tcPr>
            <w:tcW w:w="2246" w:type="dxa"/>
            <w:noWrap/>
            <w:hideMark/>
          </w:tcPr>
          <w:p w14:paraId="4D173659" w14:textId="77777777" w:rsidR="006D1588" w:rsidRPr="006D1588" w:rsidRDefault="006D1588" w:rsidP="006D1588">
            <w:pPr>
              <w:autoSpaceDE w:val="0"/>
              <w:autoSpaceDN w:val="0"/>
              <w:adjustRightInd w:val="0"/>
              <w:ind w:left="312"/>
              <w:jc w:val="both"/>
              <w:rPr>
                <w:rFonts w:asciiTheme="minorHAnsi" w:hAnsiTheme="minorHAnsi" w:cs="Arial"/>
                <w:sz w:val="22"/>
                <w:szCs w:val="22"/>
              </w:rPr>
            </w:pPr>
            <w:r w:rsidRPr="006D1588">
              <w:rPr>
                <w:rFonts w:asciiTheme="minorHAnsi" w:hAnsiTheme="minorHAnsi" w:cs="Arial"/>
                <w:sz w:val="22"/>
                <w:szCs w:val="22"/>
              </w:rPr>
              <w:t> </w:t>
            </w:r>
          </w:p>
        </w:tc>
      </w:tr>
    </w:tbl>
    <w:p w14:paraId="5304DFD7" w14:textId="77777777" w:rsidR="006D1588" w:rsidRPr="001D52A0" w:rsidRDefault="006D1588" w:rsidP="006D1588">
      <w:pPr>
        <w:autoSpaceDE w:val="0"/>
        <w:autoSpaceDN w:val="0"/>
        <w:adjustRightInd w:val="0"/>
        <w:spacing w:before="240" w:after="120"/>
        <w:ind w:left="312"/>
        <w:jc w:val="both"/>
        <w:rPr>
          <w:rFonts w:asciiTheme="minorHAnsi" w:hAnsiTheme="minorHAnsi" w:cs="Arial"/>
          <w:sz w:val="22"/>
          <w:szCs w:val="22"/>
        </w:rPr>
      </w:pPr>
    </w:p>
    <w:p w14:paraId="20673677" w14:textId="2CDBAD96" w:rsidR="00B7637B" w:rsidRPr="001D52A0" w:rsidRDefault="00B7637B" w:rsidP="00B7637B">
      <w:pPr>
        <w:numPr>
          <w:ilvl w:val="1"/>
          <w:numId w:val="34"/>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lastRenderedPageBreak/>
        <w:t>The above table demonstrate that whilst savings are not on target, the increase in tonnages is a direct impact of waste coming out of the residual waste stream.  Savings are being made by the Authority where spend is not required.</w:t>
      </w:r>
    </w:p>
    <w:p w14:paraId="5F186716" w14:textId="102C26DA" w:rsidR="00D17044" w:rsidRPr="006D1588" w:rsidRDefault="00071DA1" w:rsidP="006D1588">
      <w:pPr>
        <w:numPr>
          <w:ilvl w:val="1"/>
          <w:numId w:val="34"/>
        </w:numPr>
        <w:autoSpaceDE w:val="0"/>
        <w:autoSpaceDN w:val="0"/>
        <w:adjustRightInd w:val="0"/>
        <w:spacing w:before="240" w:after="120"/>
        <w:ind w:left="142"/>
        <w:jc w:val="both"/>
        <w:rPr>
          <w:rFonts w:asciiTheme="minorHAnsi" w:hAnsiTheme="minorHAnsi" w:cs="Arial"/>
          <w:sz w:val="22"/>
          <w:szCs w:val="22"/>
        </w:rPr>
      </w:pPr>
      <w:r w:rsidRPr="006D1588">
        <w:rPr>
          <w:rFonts w:asciiTheme="minorHAnsi" w:hAnsiTheme="minorHAnsi" w:cs="Arial"/>
          <w:sz w:val="22"/>
          <w:szCs w:val="22"/>
        </w:rPr>
        <w:t>Within the 2023/24 budget, there were also savings identified as part of the new programmes funded from the PPP income retained by WLWA which are shown below:</w:t>
      </w:r>
    </w:p>
    <w:tbl>
      <w:tblPr>
        <w:tblStyle w:val="TableGrid"/>
        <w:tblW w:w="0" w:type="auto"/>
        <w:jc w:val="center"/>
        <w:tblLook w:val="04A0" w:firstRow="1" w:lastRow="0" w:firstColumn="1" w:lastColumn="0" w:noHBand="0" w:noVBand="1"/>
      </w:tblPr>
      <w:tblGrid>
        <w:gridCol w:w="4248"/>
        <w:gridCol w:w="2268"/>
        <w:gridCol w:w="2500"/>
      </w:tblGrid>
      <w:tr w:rsidR="00071DA1" w:rsidRPr="001D52A0" w14:paraId="03D4564F" w14:textId="77777777" w:rsidTr="00071DA1">
        <w:trPr>
          <w:jc w:val="center"/>
        </w:trPr>
        <w:tc>
          <w:tcPr>
            <w:tcW w:w="4248" w:type="dxa"/>
          </w:tcPr>
          <w:p w14:paraId="69E2E51B" w14:textId="77777777" w:rsidR="00071DA1" w:rsidRPr="001D52A0" w:rsidRDefault="00071DA1" w:rsidP="00D17044">
            <w:pPr>
              <w:rPr>
                <w:rFonts w:asciiTheme="minorHAnsi" w:hAnsiTheme="minorHAnsi" w:cs="Arial"/>
                <w:b/>
                <w:sz w:val="22"/>
                <w:szCs w:val="22"/>
              </w:rPr>
            </w:pPr>
            <w:r w:rsidRPr="001D52A0">
              <w:rPr>
                <w:rFonts w:asciiTheme="minorHAnsi" w:hAnsiTheme="minorHAnsi" w:cs="Arial"/>
                <w:b/>
                <w:sz w:val="22"/>
                <w:szCs w:val="22"/>
              </w:rPr>
              <w:t>Programme</w:t>
            </w:r>
          </w:p>
        </w:tc>
        <w:tc>
          <w:tcPr>
            <w:tcW w:w="2268" w:type="dxa"/>
          </w:tcPr>
          <w:p w14:paraId="407C36CB" w14:textId="77777777" w:rsidR="00071DA1" w:rsidRPr="001D52A0" w:rsidRDefault="00071DA1" w:rsidP="00D17044">
            <w:pPr>
              <w:rPr>
                <w:rFonts w:asciiTheme="minorHAnsi" w:hAnsiTheme="minorHAnsi" w:cs="Arial"/>
                <w:b/>
                <w:sz w:val="22"/>
                <w:szCs w:val="22"/>
              </w:rPr>
            </w:pPr>
            <w:r w:rsidRPr="001D52A0">
              <w:rPr>
                <w:rFonts w:asciiTheme="minorHAnsi" w:hAnsiTheme="minorHAnsi" w:cs="Arial"/>
                <w:b/>
                <w:sz w:val="22"/>
                <w:szCs w:val="22"/>
              </w:rPr>
              <w:t>Budget saving</w:t>
            </w:r>
          </w:p>
        </w:tc>
        <w:tc>
          <w:tcPr>
            <w:tcW w:w="2500" w:type="dxa"/>
          </w:tcPr>
          <w:p w14:paraId="784ED87E" w14:textId="77777777" w:rsidR="00071DA1" w:rsidRPr="001D52A0" w:rsidRDefault="00071DA1" w:rsidP="00D17044">
            <w:pPr>
              <w:rPr>
                <w:rFonts w:asciiTheme="minorHAnsi" w:hAnsiTheme="minorHAnsi" w:cs="Arial"/>
                <w:b/>
                <w:sz w:val="22"/>
                <w:szCs w:val="22"/>
              </w:rPr>
            </w:pPr>
            <w:r w:rsidRPr="001D52A0">
              <w:rPr>
                <w:rFonts w:asciiTheme="minorHAnsi" w:hAnsiTheme="minorHAnsi" w:cs="Arial"/>
                <w:b/>
                <w:sz w:val="22"/>
                <w:szCs w:val="22"/>
              </w:rPr>
              <w:t>Actual saving (Forecast)</w:t>
            </w:r>
          </w:p>
        </w:tc>
      </w:tr>
      <w:tr w:rsidR="00071DA1" w:rsidRPr="001D52A0" w14:paraId="1EF4C120" w14:textId="77777777" w:rsidTr="00071DA1">
        <w:trPr>
          <w:jc w:val="center"/>
        </w:trPr>
        <w:tc>
          <w:tcPr>
            <w:tcW w:w="4248" w:type="dxa"/>
          </w:tcPr>
          <w:p w14:paraId="03FFC3FC" w14:textId="77777777" w:rsidR="00071DA1" w:rsidRPr="001D52A0" w:rsidRDefault="00071DA1" w:rsidP="00D17044">
            <w:pPr>
              <w:rPr>
                <w:rFonts w:asciiTheme="minorHAnsi" w:hAnsiTheme="minorHAnsi" w:cs="Arial"/>
                <w:sz w:val="22"/>
                <w:szCs w:val="22"/>
              </w:rPr>
            </w:pPr>
            <w:r w:rsidRPr="001D52A0">
              <w:rPr>
                <w:rFonts w:asciiTheme="minorHAnsi" w:hAnsiTheme="minorHAnsi" w:cs="Arial"/>
                <w:sz w:val="22"/>
                <w:szCs w:val="22"/>
              </w:rPr>
              <w:t>Communications</w:t>
            </w:r>
          </w:p>
        </w:tc>
        <w:tc>
          <w:tcPr>
            <w:tcW w:w="2268" w:type="dxa"/>
          </w:tcPr>
          <w:p w14:paraId="060E3F44" w14:textId="77777777" w:rsidR="00071DA1" w:rsidRPr="001D52A0" w:rsidRDefault="00071DA1" w:rsidP="00D17044">
            <w:pPr>
              <w:rPr>
                <w:rFonts w:asciiTheme="minorHAnsi" w:hAnsiTheme="minorHAnsi" w:cs="Arial"/>
                <w:sz w:val="22"/>
                <w:szCs w:val="22"/>
              </w:rPr>
            </w:pPr>
            <w:r w:rsidRPr="001D52A0">
              <w:rPr>
                <w:rFonts w:asciiTheme="minorHAnsi" w:hAnsiTheme="minorHAnsi" w:cs="Arial"/>
                <w:sz w:val="22"/>
                <w:szCs w:val="22"/>
              </w:rPr>
              <w:t>£200k</w:t>
            </w:r>
          </w:p>
        </w:tc>
        <w:tc>
          <w:tcPr>
            <w:tcW w:w="2500" w:type="dxa"/>
          </w:tcPr>
          <w:p w14:paraId="6B9DC754" w14:textId="77777777" w:rsidR="00071DA1" w:rsidRPr="001D52A0" w:rsidRDefault="00071DA1" w:rsidP="00D17044">
            <w:pPr>
              <w:rPr>
                <w:rFonts w:asciiTheme="minorHAnsi" w:hAnsiTheme="minorHAnsi" w:cs="Arial"/>
                <w:sz w:val="22"/>
                <w:szCs w:val="22"/>
              </w:rPr>
            </w:pPr>
            <w:r w:rsidRPr="001D52A0">
              <w:rPr>
                <w:rFonts w:asciiTheme="minorHAnsi" w:hAnsiTheme="minorHAnsi" w:cs="Arial"/>
                <w:sz w:val="22"/>
                <w:szCs w:val="22"/>
              </w:rPr>
              <w:t>c.£160k</w:t>
            </w:r>
          </w:p>
        </w:tc>
      </w:tr>
      <w:tr w:rsidR="00071DA1" w:rsidRPr="001D52A0" w14:paraId="7CC3A866" w14:textId="77777777" w:rsidTr="00071DA1">
        <w:trPr>
          <w:jc w:val="center"/>
        </w:trPr>
        <w:tc>
          <w:tcPr>
            <w:tcW w:w="4248" w:type="dxa"/>
          </w:tcPr>
          <w:p w14:paraId="2EA1B9C6" w14:textId="77777777" w:rsidR="00071DA1" w:rsidRPr="001D52A0" w:rsidRDefault="00071DA1" w:rsidP="00D17044">
            <w:pPr>
              <w:rPr>
                <w:rFonts w:asciiTheme="minorHAnsi" w:hAnsiTheme="minorHAnsi" w:cs="Arial"/>
                <w:sz w:val="22"/>
                <w:szCs w:val="22"/>
              </w:rPr>
            </w:pPr>
            <w:r w:rsidRPr="001D52A0">
              <w:rPr>
                <w:rFonts w:asciiTheme="minorHAnsi" w:hAnsiTheme="minorHAnsi" w:cs="Arial"/>
                <w:sz w:val="22"/>
                <w:szCs w:val="22"/>
              </w:rPr>
              <w:t>Social Value and Reuse</w:t>
            </w:r>
          </w:p>
        </w:tc>
        <w:tc>
          <w:tcPr>
            <w:tcW w:w="2268" w:type="dxa"/>
          </w:tcPr>
          <w:p w14:paraId="0D60AFE8" w14:textId="77777777" w:rsidR="00071DA1" w:rsidRPr="001D52A0" w:rsidRDefault="00071DA1" w:rsidP="00D17044">
            <w:pPr>
              <w:rPr>
                <w:rFonts w:asciiTheme="minorHAnsi" w:hAnsiTheme="minorHAnsi" w:cs="Arial"/>
                <w:sz w:val="22"/>
                <w:szCs w:val="22"/>
              </w:rPr>
            </w:pPr>
            <w:r w:rsidRPr="001D52A0">
              <w:rPr>
                <w:rFonts w:asciiTheme="minorHAnsi" w:hAnsiTheme="minorHAnsi" w:cs="Arial"/>
                <w:sz w:val="22"/>
                <w:szCs w:val="22"/>
              </w:rPr>
              <w:t>£533k</w:t>
            </w:r>
          </w:p>
        </w:tc>
        <w:tc>
          <w:tcPr>
            <w:tcW w:w="2500" w:type="dxa"/>
          </w:tcPr>
          <w:p w14:paraId="51491BFD" w14:textId="77777777" w:rsidR="00071DA1" w:rsidRPr="001D52A0" w:rsidRDefault="00071DA1" w:rsidP="00D17044">
            <w:pPr>
              <w:rPr>
                <w:rFonts w:asciiTheme="minorHAnsi" w:hAnsiTheme="minorHAnsi" w:cs="Arial"/>
                <w:sz w:val="22"/>
                <w:szCs w:val="22"/>
              </w:rPr>
            </w:pPr>
            <w:r w:rsidRPr="001D52A0">
              <w:rPr>
                <w:rFonts w:asciiTheme="minorHAnsi" w:hAnsiTheme="minorHAnsi" w:cs="Arial"/>
                <w:sz w:val="22"/>
                <w:szCs w:val="22"/>
              </w:rPr>
              <w:t>c.£550k</w:t>
            </w:r>
          </w:p>
        </w:tc>
      </w:tr>
      <w:tr w:rsidR="00071DA1" w:rsidRPr="001D52A0" w14:paraId="4DE6C8D9" w14:textId="77777777" w:rsidTr="00071DA1">
        <w:trPr>
          <w:jc w:val="center"/>
        </w:trPr>
        <w:tc>
          <w:tcPr>
            <w:tcW w:w="4248" w:type="dxa"/>
          </w:tcPr>
          <w:p w14:paraId="79205C0B" w14:textId="77777777" w:rsidR="00071DA1" w:rsidRPr="001D52A0" w:rsidRDefault="00071DA1" w:rsidP="00D17044">
            <w:pPr>
              <w:rPr>
                <w:rFonts w:asciiTheme="minorHAnsi" w:hAnsiTheme="minorHAnsi" w:cs="Arial"/>
                <w:sz w:val="22"/>
                <w:szCs w:val="22"/>
              </w:rPr>
            </w:pPr>
            <w:r w:rsidRPr="001D52A0">
              <w:rPr>
                <w:rFonts w:asciiTheme="minorHAnsi" w:hAnsiTheme="minorHAnsi" w:cs="Arial"/>
                <w:sz w:val="22"/>
                <w:szCs w:val="22"/>
              </w:rPr>
              <w:t>Digital Twin</w:t>
            </w:r>
          </w:p>
        </w:tc>
        <w:tc>
          <w:tcPr>
            <w:tcW w:w="2268" w:type="dxa"/>
          </w:tcPr>
          <w:p w14:paraId="69781019" w14:textId="77777777" w:rsidR="00071DA1" w:rsidRPr="001D52A0" w:rsidRDefault="00071DA1" w:rsidP="00D17044">
            <w:pPr>
              <w:rPr>
                <w:rFonts w:asciiTheme="minorHAnsi" w:hAnsiTheme="minorHAnsi" w:cs="Arial"/>
                <w:sz w:val="22"/>
                <w:szCs w:val="22"/>
              </w:rPr>
            </w:pPr>
            <w:r w:rsidRPr="001D52A0">
              <w:rPr>
                <w:rFonts w:asciiTheme="minorHAnsi" w:hAnsiTheme="minorHAnsi" w:cs="Arial"/>
                <w:sz w:val="22"/>
                <w:szCs w:val="22"/>
              </w:rPr>
              <w:t>£600k</w:t>
            </w:r>
          </w:p>
        </w:tc>
        <w:tc>
          <w:tcPr>
            <w:tcW w:w="2500" w:type="dxa"/>
          </w:tcPr>
          <w:p w14:paraId="3E0E83E5" w14:textId="292670D3" w:rsidR="00071DA1" w:rsidRPr="001D52A0" w:rsidRDefault="00071DA1" w:rsidP="00D17044">
            <w:pPr>
              <w:rPr>
                <w:rFonts w:asciiTheme="minorHAnsi" w:hAnsiTheme="minorHAnsi" w:cs="Arial"/>
                <w:sz w:val="22"/>
                <w:szCs w:val="22"/>
              </w:rPr>
            </w:pPr>
            <w:r w:rsidRPr="001D52A0">
              <w:rPr>
                <w:rFonts w:asciiTheme="minorHAnsi" w:hAnsiTheme="minorHAnsi" w:cs="Arial"/>
                <w:sz w:val="22"/>
                <w:szCs w:val="22"/>
              </w:rPr>
              <w:t>c.£8</w:t>
            </w:r>
            <w:r w:rsidR="00707AC2" w:rsidRPr="001D52A0">
              <w:rPr>
                <w:rFonts w:asciiTheme="minorHAnsi" w:hAnsiTheme="minorHAnsi" w:cs="Arial"/>
                <w:sz w:val="22"/>
                <w:szCs w:val="22"/>
              </w:rPr>
              <w:t>0</w:t>
            </w:r>
            <w:r w:rsidRPr="001D52A0">
              <w:rPr>
                <w:rFonts w:asciiTheme="minorHAnsi" w:hAnsiTheme="minorHAnsi" w:cs="Arial"/>
                <w:sz w:val="22"/>
                <w:szCs w:val="22"/>
              </w:rPr>
              <w:t>0k</w:t>
            </w:r>
          </w:p>
        </w:tc>
      </w:tr>
    </w:tbl>
    <w:p w14:paraId="5DA4230E" w14:textId="377508F3" w:rsidR="00071DA1" w:rsidRPr="001D52A0" w:rsidRDefault="00B7637B" w:rsidP="000745BC">
      <w:pPr>
        <w:numPr>
          <w:ilvl w:val="1"/>
          <w:numId w:val="34"/>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The above table demonstrate that where boroughs are engaging with the Authority’s funded programmes, the financial benefit is being recognised within their services</w:t>
      </w:r>
      <w:r w:rsidR="00C03B52" w:rsidRPr="001D52A0">
        <w:rPr>
          <w:rFonts w:asciiTheme="minorHAnsi" w:hAnsiTheme="minorHAnsi" w:cs="Arial"/>
          <w:sz w:val="22"/>
          <w:szCs w:val="22"/>
        </w:rPr>
        <w:t xml:space="preserve"> through additional revenue, cost avoidance and reduction</w:t>
      </w:r>
      <w:r w:rsidRPr="001D52A0">
        <w:rPr>
          <w:rFonts w:asciiTheme="minorHAnsi" w:hAnsiTheme="minorHAnsi" w:cs="Arial"/>
          <w:sz w:val="22"/>
          <w:szCs w:val="22"/>
        </w:rPr>
        <w:t>.</w:t>
      </w:r>
      <w:r w:rsidR="00C03B52" w:rsidRPr="001D52A0">
        <w:rPr>
          <w:rFonts w:asciiTheme="minorHAnsi" w:hAnsiTheme="minorHAnsi" w:cs="Arial"/>
          <w:sz w:val="22"/>
          <w:szCs w:val="22"/>
        </w:rPr>
        <w:t xml:space="preserve"> </w:t>
      </w:r>
    </w:p>
    <w:p w14:paraId="29C2B055" w14:textId="45F4FC01" w:rsidR="00C03B52" w:rsidRDefault="00C03B52" w:rsidP="00323475">
      <w:pPr>
        <w:autoSpaceDE w:val="0"/>
        <w:autoSpaceDN w:val="0"/>
        <w:adjustRightInd w:val="0"/>
        <w:spacing w:before="240" w:after="120"/>
        <w:ind w:left="312"/>
        <w:jc w:val="both"/>
        <w:rPr>
          <w:rFonts w:asciiTheme="minorHAnsi" w:hAnsiTheme="minorHAnsi" w:cs="Arial"/>
          <w:sz w:val="22"/>
          <w:szCs w:val="22"/>
        </w:rPr>
      </w:pPr>
      <w:r w:rsidRPr="001D52A0">
        <w:rPr>
          <w:rFonts w:asciiTheme="minorHAnsi" w:hAnsiTheme="minorHAnsi" w:cs="Arial"/>
          <w:sz w:val="22"/>
          <w:szCs w:val="22"/>
        </w:rPr>
        <w:t>Borough engagement with the Programmes is critical to the delivery of whole system savings. The approach taken by WLWA has been to optimise the reduction of waste through capture of reuse and recyclable materials and help deliver the additional work through efficiency in the collections and HRRC capture network. This requires Borough team to implement operational change to realise the benefit.</w:t>
      </w:r>
    </w:p>
    <w:p w14:paraId="3F2B43DA" w14:textId="4029EC46" w:rsidR="004B246B" w:rsidRPr="006D1588" w:rsidRDefault="006D1588" w:rsidP="004B246B">
      <w:pPr>
        <w:numPr>
          <w:ilvl w:val="1"/>
          <w:numId w:val="34"/>
        </w:numPr>
        <w:autoSpaceDE w:val="0"/>
        <w:autoSpaceDN w:val="0"/>
        <w:adjustRightInd w:val="0"/>
        <w:spacing w:before="240" w:after="120"/>
        <w:jc w:val="both"/>
        <w:rPr>
          <w:rFonts w:asciiTheme="minorHAnsi" w:hAnsiTheme="minorHAnsi" w:cs="Arial"/>
          <w:sz w:val="22"/>
          <w:szCs w:val="22"/>
        </w:rPr>
      </w:pPr>
      <w:r>
        <w:rPr>
          <w:rFonts w:asciiTheme="minorHAnsi" w:hAnsiTheme="minorHAnsi" w:cs="Arial"/>
          <w:sz w:val="22"/>
          <w:szCs w:val="22"/>
        </w:rPr>
        <w:t xml:space="preserve">The savings identified </w:t>
      </w:r>
      <w:r w:rsidR="00DB5D88">
        <w:rPr>
          <w:rFonts w:asciiTheme="minorHAnsi" w:hAnsiTheme="minorHAnsi" w:cs="Arial"/>
          <w:sz w:val="22"/>
          <w:szCs w:val="22"/>
        </w:rPr>
        <w:t>are within Borough spend, and not the Authority’s.  These are tracked via discussions with Boroughs and understanding the savings they have realised.</w:t>
      </w:r>
    </w:p>
    <w:p w14:paraId="74FFDE2C" w14:textId="33CDBCF0" w:rsidR="00FD00A1" w:rsidRPr="001D52A0" w:rsidRDefault="00FD00A1" w:rsidP="00B7637B">
      <w:pPr>
        <w:pStyle w:val="ListParagraph"/>
        <w:numPr>
          <w:ilvl w:val="0"/>
          <w:numId w:val="34"/>
        </w:numPr>
        <w:autoSpaceDE w:val="0"/>
        <w:autoSpaceDN w:val="0"/>
        <w:adjustRightInd w:val="0"/>
        <w:spacing w:before="240" w:after="120"/>
        <w:jc w:val="both"/>
        <w:rPr>
          <w:rFonts w:asciiTheme="minorHAnsi" w:hAnsiTheme="minorHAnsi"/>
          <w:b/>
        </w:rPr>
      </w:pPr>
      <w:r w:rsidRPr="001D52A0">
        <w:rPr>
          <w:rFonts w:asciiTheme="minorHAnsi" w:hAnsiTheme="minorHAnsi"/>
          <w:b/>
        </w:rPr>
        <w:t>PAYT / FCL split</w:t>
      </w:r>
    </w:p>
    <w:p w14:paraId="16FB2EAE" w14:textId="77777777" w:rsidR="00FD00A1" w:rsidRPr="001D52A0" w:rsidRDefault="00E14A6B" w:rsidP="00FD00A1">
      <w:pPr>
        <w:autoSpaceDE w:val="0"/>
        <w:autoSpaceDN w:val="0"/>
        <w:adjustRightInd w:val="0"/>
        <w:spacing w:before="240" w:after="120"/>
        <w:ind w:left="720" w:hanging="720"/>
        <w:jc w:val="both"/>
        <w:rPr>
          <w:rFonts w:asciiTheme="minorHAnsi" w:hAnsiTheme="minorHAnsi" w:cs="Arial"/>
          <w:sz w:val="22"/>
          <w:szCs w:val="22"/>
        </w:rPr>
      </w:pPr>
      <w:r w:rsidRPr="001D52A0">
        <w:rPr>
          <w:rFonts w:asciiTheme="minorHAnsi" w:hAnsiTheme="minorHAnsi" w:cs="Arial"/>
          <w:sz w:val="22"/>
          <w:szCs w:val="22"/>
        </w:rPr>
        <w:t>13.1</w:t>
      </w:r>
      <w:r w:rsidR="00FD00A1" w:rsidRPr="001D52A0">
        <w:rPr>
          <w:rFonts w:asciiTheme="minorHAnsi" w:hAnsiTheme="minorHAnsi" w:cs="Arial"/>
          <w:sz w:val="22"/>
          <w:szCs w:val="22"/>
        </w:rPr>
        <w:t xml:space="preserve"> </w:t>
      </w:r>
      <w:r w:rsidR="00FD00A1" w:rsidRPr="001D52A0">
        <w:rPr>
          <w:rFonts w:asciiTheme="minorHAnsi" w:hAnsiTheme="minorHAnsi" w:cs="Arial"/>
          <w:sz w:val="22"/>
          <w:szCs w:val="22"/>
        </w:rPr>
        <w:tab/>
        <w:t>PAYT costs relate to waste that boroughs collect and deliver to transfer stations and FCL costs are those which relate to waste from HRRC sites and the Authority’s running expenses.</w:t>
      </w:r>
    </w:p>
    <w:p w14:paraId="3D3A83E1" w14:textId="49446BB4" w:rsidR="00FD00A1" w:rsidRDefault="00FD00A1" w:rsidP="000F7B40">
      <w:pPr>
        <w:autoSpaceDE w:val="0"/>
        <w:autoSpaceDN w:val="0"/>
        <w:adjustRightInd w:val="0"/>
        <w:spacing w:before="240" w:after="120"/>
        <w:ind w:left="720" w:hanging="720"/>
        <w:jc w:val="both"/>
        <w:rPr>
          <w:rFonts w:asciiTheme="minorHAnsi" w:hAnsiTheme="minorHAnsi" w:cs="Arial"/>
          <w:sz w:val="22"/>
          <w:szCs w:val="22"/>
        </w:rPr>
      </w:pPr>
      <w:r w:rsidRPr="001D52A0">
        <w:rPr>
          <w:rFonts w:asciiTheme="minorHAnsi" w:hAnsiTheme="minorHAnsi" w:cs="Arial"/>
          <w:sz w:val="22"/>
          <w:szCs w:val="22"/>
        </w:rPr>
        <w:t>1</w:t>
      </w:r>
      <w:r w:rsidR="00E14A6B" w:rsidRPr="001D52A0">
        <w:rPr>
          <w:rFonts w:asciiTheme="minorHAnsi" w:hAnsiTheme="minorHAnsi" w:cs="Arial"/>
          <w:sz w:val="22"/>
          <w:szCs w:val="22"/>
        </w:rPr>
        <w:t>3.2</w:t>
      </w:r>
      <w:r w:rsidRPr="001D52A0">
        <w:rPr>
          <w:rFonts w:asciiTheme="minorHAnsi" w:hAnsiTheme="minorHAnsi" w:cs="Arial"/>
          <w:sz w:val="22"/>
          <w:szCs w:val="22"/>
        </w:rPr>
        <w:tab/>
      </w:r>
      <w:r w:rsidR="00803CA6" w:rsidRPr="001D52A0">
        <w:rPr>
          <w:rFonts w:asciiTheme="minorHAnsi" w:hAnsiTheme="minorHAnsi" w:cs="Arial"/>
          <w:sz w:val="22"/>
          <w:szCs w:val="22"/>
        </w:rPr>
        <w:t xml:space="preserve">Both </w:t>
      </w:r>
      <w:r w:rsidRPr="001D52A0">
        <w:rPr>
          <w:rFonts w:asciiTheme="minorHAnsi" w:hAnsiTheme="minorHAnsi" w:cs="Arial"/>
          <w:sz w:val="22"/>
          <w:szCs w:val="22"/>
        </w:rPr>
        <w:t xml:space="preserve">also include an element for the recovery of SERC </w:t>
      </w:r>
      <w:r w:rsidR="00350FA6" w:rsidRPr="001D52A0">
        <w:rPr>
          <w:rFonts w:asciiTheme="minorHAnsi" w:hAnsiTheme="minorHAnsi" w:cs="Arial"/>
          <w:sz w:val="22"/>
          <w:szCs w:val="22"/>
        </w:rPr>
        <w:t>f</w:t>
      </w:r>
      <w:r w:rsidRPr="001D52A0">
        <w:rPr>
          <w:rFonts w:asciiTheme="minorHAnsi" w:hAnsiTheme="minorHAnsi" w:cs="Arial"/>
          <w:sz w:val="22"/>
          <w:szCs w:val="22"/>
        </w:rPr>
        <w:t xml:space="preserve">inancing costs, depreciation, rates and concession accounting adjustments.  </w:t>
      </w:r>
      <w:r w:rsidR="00853266" w:rsidRPr="001D52A0">
        <w:rPr>
          <w:rFonts w:asciiTheme="minorHAnsi" w:hAnsiTheme="minorHAnsi" w:cs="Arial"/>
          <w:sz w:val="22"/>
          <w:szCs w:val="22"/>
        </w:rPr>
        <w:t>Insurance has been included in 2024/25 to reflect the increase in premiums due to three key factors detailed in section 9.</w:t>
      </w:r>
    </w:p>
    <w:p w14:paraId="08E23133" w14:textId="77777777" w:rsidR="00FD00A1" w:rsidRPr="001D52A0" w:rsidRDefault="00E14A6B" w:rsidP="00FD00A1">
      <w:pPr>
        <w:autoSpaceDE w:val="0"/>
        <w:autoSpaceDN w:val="0"/>
        <w:adjustRightInd w:val="0"/>
        <w:spacing w:before="240" w:after="120"/>
        <w:ind w:left="720" w:hanging="720"/>
        <w:jc w:val="both"/>
        <w:rPr>
          <w:rFonts w:asciiTheme="minorHAnsi" w:hAnsiTheme="minorHAnsi" w:cs="Arial"/>
          <w:sz w:val="22"/>
          <w:szCs w:val="22"/>
        </w:rPr>
      </w:pPr>
      <w:r w:rsidRPr="001D52A0">
        <w:rPr>
          <w:rFonts w:asciiTheme="minorHAnsi" w:hAnsiTheme="minorHAnsi" w:cs="Arial"/>
          <w:sz w:val="22"/>
          <w:szCs w:val="22"/>
        </w:rPr>
        <w:t>13.3</w:t>
      </w:r>
      <w:r w:rsidR="00FD00A1" w:rsidRPr="001D52A0">
        <w:rPr>
          <w:rFonts w:asciiTheme="minorHAnsi" w:hAnsiTheme="minorHAnsi" w:cs="Arial"/>
          <w:sz w:val="22"/>
          <w:szCs w:val="22"/>
        </w:rPr>
        <w:t xml:space="preserve"> </w:t>
      </w:r>
      <w:r w:rsidR="00FD00A1" w:rsidRPr="001D52A0">
        <w:rPr>
          <w:rFonts w:asciiTheme="minorHAnsi" w:hAnsiTheme="minorHAnsi" w:cs="Arial"/>
          <w:sz w:val="22"/>
          <w:szCs w:val="22"/>
        </w:rPr>
        <w:tab/>
      </w:r>
      <w:r w:rsidR="000F7B40" w:rsidRPr="001D52A0">
        <w:rPr>
          <w:rFonts w:asciiTheme="minorHAnsi" w:hAnsiTheme="minorHAnsi" w:cs="Arial"/>
          <w:sz w:val="22"/>
          <w:szCs w:val="22"/>
        </w:rPr>
        <w:t>T</w:t>
      </w:r>
      <w:r w:rsidR="00FD00A1" w:rsidRPr="001D52A0">
        <w:rPr>
          <w:rFonts w:asciiTheme="minorHAnsi" w:hAnsiTheme="minorHAnsi" w:cs="Arial"/>
          <w:sz w:val="22"/>
          <w:szCs w:val="22"/>
        </w:rPr>
        <w:t>he breakdown of the budget between PAYT and FCL activities is as follows:</w:t>
      </w:r>
    </w:p>
    <w:tbl>
      <w:tblPr>
        <w:tblW w:w="8036"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1665"/>
        <w:gridCol w:w="1665"/>
        <w:gridCol w:w="1665"/>
      </w:tblGrid>
      <w:tr w:rsidR="00E608AD" w:rsidRPr="001D52A0" w14:paraId="56533B9F" w14:textId="77777777" w:rsidTr="009605A8">
        <w:trPr>
          <w:trHeight w:val="405"/>
        </w:trPr>
        <w:tc>
          <w:tcPr>
            <w:tcW w:w="3041" w:type="dxa"/>
            <w:shd w:val="clear" w:color="auto" w:fill="auto"/>
            <w:vAlign w:val="center"/>
            <w:hideMark/>
          </w:tcPr>
          <w:p w14:paraId="68861890" w14:textId="77777777" w:rsidR="00E608AD" w:rsidRPr="001D52A0" w:rsidRDefault="00E608AD" w:rsidP="00E608AD">
            <w:pPr>
              <w:rPr>
                <w:rFonts w:asciiTheme="minorHAnsi" w:hAnsiTheme="minorHAnsi" w:cs="Arial"/>
                <w:b/>
                <w:bCs/>
                <w:sz w:val="22"/>
                <w:szCs w:val="22"/>
                <w:lang w:eastAsia="en-GB"/>
              </w:rPr>
            </w:pPr>
            <w:r w:rsidRPr="001D52A0">
              <w:rPr>
                <w:rFonts w:asciiTheme="minorHAnsi" w:hAnsiTheme="minorHAnsi" w:cs="Arial"/>
                <w:b/>
                <w:bCs/>
                <w:sz w:val="22"/>
                <w:szCs w:val="22"/>
                <w:lang w:eastAsia="en-GB"/>
              </w:rPr>
              <w:t>PAYT (disposal cost)</w:t>
            </w:r>
          </w:p>
        </w:tc>
        <w:tc>
          <w:tcPr>
            <w:tcW w:w="1665" w:type="dxa"/>
            <w:vAlign w:val="center"/>
          </w:tcPr>
          <w:p w14:paraId="7B693E80" w14:textId="167B8E44" w:rsidR="00E608AD" w:rsidRPr="001D52A0" w:rsidRDefault="00ED7919" w:rsidP="00E608AD">
            <w:pPr>
              <w:jc w:val="right"/>
              <w:rPr>
                <w:rFonts w:asciiTheme="minorHAnsi" w:hAnsiTheme="minorHAnsi" w:cs="Arial"/>
                <w:b/>
                <w:bCs/>
                <w:sz w:val="22"/>
                <w:szCs w:val="22"/>
                <w:lang w:eastAsia="en-GB"/>
              </w:rPr>
            </w:pPr>
            <w:r w:rsidRPr="001D52A0">
              <w:rPr>
                <w:rFonts w:asciiTheme="minorHAnsi" w:hAnsiTheme="minorHAnsi" w:cs="Arial"/>
                <w:b/>
                <w:bCs/>
                <w:sz w:val="22"/>
                <w:szCs w:val="22"/>
                <w:lang w:eastAsia="en-GB"/>
              </w:rPr>
              <w:t>2023/24</w:t>
            </w:r>
          </w:p>
          <w:p w14:paraId="0F8FADD0" w14:textId="77777777" w:rsidR="00E608AD" w:rsidRPr="001D52A0" w:rsidRDefault="00E608AD" w:rsidP="00E608AD">
            <w:pPr>
              <w:jc w:val="right"/>
              <w:rPr>
                <w:rFonts w:asciiTheme="minorHAnsi" w:hAnsiTheme="minorHAnsi" w:cs="Arial"/>
                <w:b/>
                <w:bCs/>
                <w:sz w:val="22"/>
                <w:szCs w:val="22"/>
                <w:lang w:eastAsia="en-GB"/>
              </w:rPr>
            </w:pPr>
            <w:r w:rsidRPr="001D52A0">
              <w:rPr>
                <w:rFonts w:asciiTheme="minorHAnsi" w:hAnsiTheme="minorHAnsi" w:cs="Arial"/>
                <w:b/>
                <w:bCs/>
                <w:sz w:val="22"/>
                <w:szCs w:val="22"/>
                <w:lang w:eastAsia="en-GB"/>
              </w:rPr>
              <w:t>£000’s</w:t>
            </w:r>
          </w:p>
        </w:tc>
        <w:tc>
          <w:tcPr>
            <w:tcW w:w="1665" w:type="dxa"/>
            <w:shd w:val="clear" w:color="auto" w:fill="auto"/>
            <w:vAlign w:val="center"/>
            <w:hideMark/>
          </w:tcPr>
          <w:p w14:paraId="160BBB0A" w14:textId="0398A1FB" w:rsidR="00E608AD" w:rsidRPr="001D52A0" w:rsidRDefault="00ED7919" w:rsidP="00E608AD">
            <w:pPr>
              <w:jc w:val="right"/>
              <w:rPr>
                <w:rFonts w:asciiTheme="minorHAnsi" w:hAnsiTheme="minorHAnsi" w:cs="Arial"/>
                <w:b/>
                <w:bCs/>
                <w:sz w:val="22"/>
                <w:szCs w:val="22"/>
                <w:lang w:eastAsia="en-GB"/>
              </w:rPr>
            </w:pPr>
            <w:r w:rsidRPr="001D52A0">
              <w:rPr>
                <w:rFonts w:asciiTheme="minorHAnsi" w:hAnsiTheme="minorHAnsi" w:cs="Arial"/>
                <w:b/>
                <w:bCs/>
                <w:sz w:val="22"/>
                <w:szCs w:val="22"/>
                <w:lang w:eastAsia="en-GB"/>
              </w:rPr>
              <w:t>2024/25</w:t>
            </w:r>
          </w:p>
          <w:p w14:paraId="5B132421" w14:textId="77777777" w:rsidR="00E608AD" w:rsidRPr="001D52A0" w:rsidRDefault="00E608AD" w:rsidP="00E608AD">
            <w:pPr>
              <w:jc w:val="right"/>
              <w:rPr>
                <w:rFonts w:asciiTheme="minorHAnsi" w:hAnsiTheme="minorHAnsi" w:cs="Arial"/>
                <w:b/>
                <w:bCs/>
                <w:sz w:val="22"/>
                <w:szCs w:val="22"/>
                <w:lang w:eastAsia="en-GB"/>
              </w:rPr>
            </w:pPr>
            <w:r w:rsidRPr="001D52A0">
              <w:rPr>
                <w:rFonts w:asciiTheme="minorHAnsi" w:hAnsiTheme="minorHAnsi" w:cs="Arial"/>
                <w:b/>
                <w:bCs/>
                <w:sz w:val="22"/>
                <w:szCs w:val="22"/>
                <w:lang w:eastAsia="en-GB"/>
              </w:rPr>
              <w:t>£000’s</w:t>
            </w:r>
          </w:p>
        </w:tc>
        <w:tc>
          <w:tcPr>
            <w:tcW w:w="1665" w:type="dxa"/>
            <w:shd w:val="clear" w:color="auto" w:fill="auto"/>
            <w:vAlign w:val="center"/>
            <w:hideMark/>
          </w:tcPr>
          <w:p w14:paraId="085DFA5B" w14:textId="77777777" w:rsidR="00E608AD" w:rsidRPr="001D52A0" w:rsidRDefault="00E608AD" w:rsidP="00E608AD">
            <w:pPr>
              <w:jc w:val="right"/>
              <w:rPr>
                <w:rFonts w:asciiTheme="minorHAnsi" w:hAnsiTheme="minorHAnsi" w:cs="Arial"/>
                <w:b/>
                <w:bCs/>
                <w:sz w:val="22"/>
                <w:szCs w:val="22"/>
                <w:lang w:eastAsia="en-GB"/>
              </w:rPr>
            </w:pPr>
            <w:r w:rsidRPr="001D52A0">
              <w:rPr>
                <w:rFonts w:asciiTheme="minorHAnsi" w:hAnsiTheme="minorHAnsi" w:cs="Arial"/>
                <w:b/>
                <w:bCs/>
                <w:sz w:val="22"/>
                <w:szCs w:val="22"/>
                <w:lang w:eastAsia="en-GB"/>
              </w:rPr>
              <w:t>Change</w:t>
            </w:r>
          </w:p>
          <w:p w14:paraId="185A2BE9" w14:textId="77777777" w:rsidR="00E608AD" w:rsidRPr="001D52A0" w:rsidRDefault="00E608AD" w:rsidP="00E608AD">
            <w:pPr>
              <w:jc w:val="right"/>
              <w:rPr>
                <w:rFonts w:asciiTheme="minorHAnsi" w:hAnsiTheme="minorHAnsi" w:cs="Arial"/>
                <w:b/>
                <w:bCs/>
                <w:sz w:val="22"/>
                <w:szCs w:val="22"/>
                <w:lang w:eastAsia="en-GB"/>
              </w:rPr>
            </w:pPr>
            <w:r w:rsidRPr="001D52A0">
              <w:rPr>
                <w:rFonts w:asciiTheme="minorHAnsi" w:hAnsiTheme="minorHAnsi" w:cs="Arial"/>
                <w:b/>
                <w:bCs/>
                <w:sz w:val="22"/>
                <w:szCs w:val="22"/>
                <w:lang w:eastAsia="en-GB"/>
              </w:rPr>
              <w:t>£000’s</w:t>
            </w:r>
          </w:p>
        </w:tc>
      </w:tr>
      <w:tr w:rsidR="00ED7919" w:rsidRPr="001D52A0" w14:paraId="2B631494" w14:textId="77777777" w:rsidTr="009605A8">
        <w:trPr>
          <w:trHeight w:val="405"/>
        </w:trPr>
        <w:tc>
          <w:tcPr>
            <w:tcW w:w="3041" w:type="dxa"/>
            <w:shd w:val="clear" w:color="auto" w:fill="auto"/>
            <w:vAlign w:val="center"/>
            <w:hideMark/>
          </w:tcPr>
          <w:p w14:paraId="52232285" w14:textId="77777777" w:rsidR="00ED7919" w:rsidRPr="001D52A0" w:rsidRDefault="00ED7919" w:rsidP="00ED7919">
            <w:pPr>
              <w:rPr>
                <w:rFonts w:asciiTheme="minorHAnsi" w:hAnsiTheme="minorHAnsi" w:cs="Arial"/>
                <w:sz w:val="22"/>
                <w:szCs w:val="22"/>
                <w:lang w:eastAsia="en-GB"/>
              </w:rPr>
            </w:pPr>
            <w:r w:rsidRPr="001D52A0">
              <w:rPr>
                <w:rFonts w:asciiTheme="minorHAnsi" w:hAnsiTheme="minorHAnsi" w:cs="Arial"/>
                <w:sz w:val="22"/>
                <w:szCs w:val="22"/>
                <w:lang w:eastAsia="en-GB"/>
              </w:rPr>
              <w:t>Waste Transport and Disposal</w:t>
            </w:r>
          </w:p>
        </w:tc>
        <w:tc>
          <w:tcPr>
            <w:tcW w:w="1665" w:type="dxa"/>
            <w:shd w:val="clear" w:color="auto" w:fill="auto"/>
            <w:vAlign w:val="center"/>
          </w:tcPr>
          <w:p w14:paraId="28F02767" w14:textId="55AE034D" w:rsidR="00ED7919" w:rsidRPr="001D52A0" w:rsidRDefault="00ED7919" w:rsidP="00ED7919">
            <w:pPr>
              <w:jc w:val="right"/>
              <w:rPr>
                <w:rFonts w:asciiTheme="minorHAnsi" w:hAnsiTheme="minorHAnsi" w:cs="Arial"/>
                <w:sz w:val="22"/>
                <w:szCs w:val="22"/>
                <w:lang w:eastAsia="en-GB"/>
              </w:rPr>
            </w:pPr>
            <w:r w:rsidRPr="001D52A0">
              <w:rPr>
                <w:rFonts w:asciiTheme="minorHAnsi" w:hAnsiTheme="minorHAnsi" w:cs="Arial"/>
                <w:sz w:val="22"/>
                <w:szCs w:val="22"/>
              </w:rPr>
              <w:t>43,986</w:t>
            </w:r>
          </w:p>
        </w:tc>
        <w:tc>
          <w:tcPr>
            <w:tcW w:w="1665" w:type="dxa"/>
            <w:shd w:val="clear" w:color="auto" w:fill="auto"/>
            <w:vAlign w:val="center"/>
          </w:tcPr>
          <w:p w14:paraId="20246127" w14:textId="0D3247FF" w:rsidR="00ED7919" w:rsidRPr="001D52A0" w:rsidRDefault="00ED7919" w:rsidP="00ED7919">
            <w:pPr>
              <w:jc w:val="right"/>
              <w:rPr>
                <w:rFonts w:asciiTheme="minorHAnsi" w:hAnsiTheme="minorHAnsi" w:cs="Arial"/>
                <w:sz w:val="22"/>
                <w:szCs w:val="22"/>
                <w:lang w:eastAsia="en-GB"/>
              </w:rPr>
            </w:pPr>
            <w:r w:rsidRPr="001D52A0">
              <w:rPr>
                <w:rFonts w:asciiTheme="minorHAnsi" w:hAnsiTheme="minorHAnsi" w:cs="Arial"/>
                <w:sz w:val="22"/>
                <w:szCs w:val="22"/>
              </w:rPr>
              <w:t>46,352</w:t>
            </w:r>
          </w:p>
        </w:tc>
        <w:tc>
          <w:tcPr>
            <w:tcW w:w="1665" w:type="dxa"/>
            <w:shd w:val="clear" w:color="auto" w:fill="auto"/>
            <w:vAlign w:val="center"/>
          </w:tcPr>
          <w:p w14:paraId="2EAFDAA1" w14:textId="7F08AD04" w:rsidR="00ED7919" w:rsidRPr="001D52A0" w:rsidRDefault="00ED7919" w:rsidP="00ED7919">
            <w:pPr>
              <w:jc w:val="right"/>
              <w:rPr>
                <w:rFonts w:asciiTheme="minorHAnsi" w:hAnsiTheme="minorHAnsi" w:cs="Arial"/>
                <w:sz w:val="22"/>
                <w:szCs w:val="22"/>
                <w:lang w:eastAsia="en-GB"/>
              </w:rPr>
            </w:pPr>
            <w:r w:rsidRPr="001D52A0">
              <w:rPr>
                <w:rFonts w:asciiTheme="minorHAnsi" w:hAnsiTheme="minorHAnsi" w:cs="Arial"/>
                <w:sz w:val="22"/>
                <w:szCs w:val="22"/>
              </w:rPr>
              <w:t>2,365</w:t>
            </w:r>
          </w:p>
        </w:tc>
      </w:tr>
      <w:tr w:rsidR="00ED7919" w:rsidRPr="001D52A0" w14:paraId="2B30D56E" w14:textId="77777777" w:rsidTr="009605A8">
        <w:trPr>
          <w:trHeight w:val="405"/>
        </w:trPr>
        <w:tc>
          <w:tcPr>
            <w:tcW w:w="3041" w:type="dxa"/>
            <w:shd w:val="clear" w:color="auto" w:fill="auto"/>
            <w:vAlign w:val="center"/>
            <w:hideMark/>
          </w:tcPr>
          <w:p w14:paraId="13192D30" w14:textId="77777777" w:rsidR="00ED7919" w:rsidRPr="001D52A0" w:rsidRDefault="00ED7919" w:rsidP="00ED7919">
            <w:pPr>
              <w:rPr>
                <w:rFonts w:asciiTheme="minorHAnsi" w:hAnsiTheme="minorHAnsi" w:cs="Arial"/>
                <w:sz w:val="22"/>
                <w:szCs w:val="22"/>
                <w:lang w:eastAsia="en-GB"/>
              </w:rPr>
            </w:pPr>
            <w:r w:rsidRPr="001D52A0">
              <w:rPr>
                <w:rFonts w:asciiTheme="minorHAnsi" w:hAnsiTheme="minorHAnsi" w:cs="Arial"/>
                <w:sz w:val="22"/>
                <w:szCs w:val="22"/>
                <w:lang w:eastAsia="en-GB"/>
              </w:rPr>
              <w:t>PAYT Levy (disposal)</w:t>
            </w:r>
          </w:p>
        </w:tc>
        <w:tc>
          <w:tcPr>
            <w:tcW w:w="1665" w:type="dxa"/>
            <w:shd w:val="clear" w:color="auto" w:fill="auto"/>
            <w:vAlign w:val="center"/>
          </w:tcPr>
          <w:p w14:paraId="47E73F7D" w14:textId="296A0A68" w:rsidR="00ED7919" w:rsidRPr="001D52A0" w:rsidRDefault="00ED7919" w:rsidP="00ED7919">
            <w:pPr>
              <w:jc w:val="right"/>
              <w:rPr>
                <w:rFonts w:asciiTheme="minorHAnsi" w:hAnsiTheme="minorHAnsi" w:cs="Arial"/>
                <w:sz w:val="22"/>
                <w:szCs w:val="22"/>
                <w:lang w:eastAsia="en-GB"/>
              </w:rPr>
            </w:pPr>
            <w:r w:rsidRPr="001D52A0">
              <w:rPr>
                <w:rFonts w:asciiTheme="minorHAnsi" w:hAnsiTheme="minorHAnsi" w:cs="Arial"/>
                <w:sz w:val="22"/>
                <w:szCs w:val="22"/>
              </w:rPr>
              <w:t>(43,986)</w:t>
            </w:r>
          </w:p>
        </w:tc>
        <w:tc>
          <w:tcPr>
            <w:tcW w:w="1665" w:type="dxa"/>
            <w:shd w:val="clear" w:color="auto" w:fill="auto"/>
            <w:vAlign w:val="center"/>
          </w:tcPr>
          <w:p w14:paraId="0D7B68F8" w14:textId="6B69AE0D" w:rsidR="00ED7919" w:rsidRPr="001D52A0" w:rsidRDefault="00ED7919" w:rsidP="00ED7919">
            <w:pPr>
              <w:jc w:val="right"/>
              <w:rPr>
                <w:rFonts w:asciiTheme="minorHAnsi" w:hAnsiTheme="minorHAnsi" w:cs="Arial"/>
                <w:sz w:val="22"/>
                <w:szCs w:val="22"/>
                <w:lang w:eastAsia="en-GB"/>
              </w:rPr>
            </w:pPr>
            <w:r w:rsidRPr="001D52A0">
              <w:rPr>
                <w:rFonts w:asciiTheme="minorHAnsi" w:hAnsiTheme="minorHAnsi" w:cs="Arial"/>
                <w:sz w:val="22"/>
                <w:szCs w:val="22"/>
              </w:rPr>
              <w:t>(46,352)</w:t>
            </w:r>
          </w:p>
        </w:tc>
        <w:tc>
          <w:tcPr>
            <w:tcW w:w="1665" w:type="dxa"/>
            <w:shd w:val="clear" w:color="auto" w:fill="auto"/>
            <w:vAlign w:val="center"/>
          </w:tcPr>
          <w:p w14:paraId="52769B4E" w14:textId="52285E3B" w:rsidR="00ED7919" w:rsidRPr="001D52A0" w:rsidRDefault="00ED7919" w:rsidP="00ED7919">
            <w:pPr>
              <w:jc w:val="right"/>
              <w:rPr>
                <w:rFonts w:asciiTheme="minorHAnsi" w:hAnsiTheme="minorHAnsi" w:cs="Arial"/>
                <w:sz w:val="22"/>
                <w:szCs w:val="22"/>
                <w:lang w:eastAsia="en-GB"/>
              </w:rPr>
            </w:pPr>
            <w:r w:rsidRPr="001D52A0">
              <w:rPr>
                <w:rFonts w:asciiTheme="minorHAnsi" w:hAnsiTheme="minorHAnsi" w:cs="Arial"/>
                <w:sz w:val="22"/>
                <w:szCs w:val="22"/>
              </w:rPr>
              <w:t>(2,365)</w:t>
            </w:r>
          </w:p>
        </w:tc>
      </w:tr>
      <w:tr w:rsidR="00E608AD" w:rsidRPr="001D52A0" w14:paraId="1EAEFE58" w14:textId="77777777" w:rsidTr="009605A8">
        <w:trPr>
          <w:trHeight w:val="405"/>
        </w:trPr>
        <w:tc>
          <w:tcPr>
            <w:tcW w:w="3041" w:type="dxa"/>
            <w:shd w:val="clear" w:color="auto" w:fill="auto"/>
            <w:vAlign w:val="center"/>
            <w:hideMark/>
          </w:tcPr>
          <w:p w14:paraId="0B78AB7D" w14:textId="77777777" w:rsidR="00E608AD" w:rsidRPr="001D52A0" w:rsidRDefault="00E608AD" w:rsidP="00E608AD">
            <w:pPr>
              <w:rPr>
                <w:rFonts w:asciiTheme="minorHAnsi" w:hAnsiTheme="minorHAnsi" w:cs="Arial"/>
                <w:b/>
                <w:bCs/>
                <w:sz w:val="22"/>
                <w:szCs w:val="22"/>
                <w:lang w:eastAsia="en-GB"/>
              </w:rPr>
            </w:pPr>
            <w:r w:rsidRPr="001D52A0">
              <w:rPr>
                <w:rFonts w:asciiTheme="minorHAnsi" w:hAnsiTheme="minorHAnsi" w:cs="Arial"/>
                <w:b/>
                <w:bCs/>
                <w:sz w:val="22"/>
                <w:szCs w:val="22"/>
                <w:lang w:eastAsia="en-GB"/>
              </w:rPr>
              <w:t>Total</w:t>
            </w:r>
          </w:p>
        </w:tc>
        <w:tc>
          <w:tcPr>
            <w:tcW w:w="1665" w:type="dxa"/>
            <w:vAlign w:val="center"/>
          </w:tcPr>
          <w:p w14:paraId="2F579BAD" w14:textId="77777777" w:rsidR="00E608AD" w:rsidRPr="001D52A0" w:rsidRDefault="00E608AD" w:rsidP="00E608AD">
            <w:pPr>
              <w:jc w:val="right"/>
              <w:rPr>
                <w:rFonts w:asciiTheme="minorHAnsi" w:hAnsiTheme="minorHAnsi" w:cs="Arial"/>
                <w:b/>
                <w:bCs/>
                <w:sz w:val="22"/>
                <w:szCs w:val="22"/>
                <w:lang w:eastAsia="en-GB"/>
              </w:rPr>
            </w:pPr>
            <w:r w:rsidRPr="001D52A0">
              <w:rPr>
                <w:rFonts w:asciiTheme="minorHAnsi" w:hAnsiTheme="minorHAnsi" w:cs="Arial"/>
                <w:b/>
                <w:bCs/>
                <w:sz w:val="22"/>
                <w:szCs w:val="22"/>
                <w:lang w:eastAsia="en-GB"/>
              </w:rPr>
              <w:t>0</w:t>
            </w:r>
          </w:p>
        </w:tc>
        <w:tc>
          <w:tcPr>
            <w:tcW w:w="1665" w:type="dxa"/>
            <w:shd w:val="clear" w:color="auto" w:fill="auto"/>
            <w:vAlign w:val="center"/>
            <w:hideMark/>
          </w:tcPr>
          <w:p w14:paraId="4EFBF757" w14:textId="77777777" w:rsidR="00E608AD" w:rsidRPr="001D52A0" w:rsidRDefault="00E608AD" w:rsidP="00E608AD">
            <w:pPr>
              <w:jc w:val="right"/>
              <w:rPr>
                <w:rFonts w:asciiTheme="minorHAnsi" w:hAnsiTheme="minorHAnsi" w:cs="Arial"/>
                <w:b/>
                <w:bCs/>
                <w:sz w:val="22"/>
                <w:szCs w:val="22"/>
                <w:lang w:eastAsia="en-GB"/>
              </w:rPr>
            </w:pPr>
            <w:r w:rsidRPr="001D52A0">
              <w:rPr>
                <w:rFonts w:asciiTheme="minorHAnsi" w:hAnsiTheme="minorHAnsi" w:cs="Arial"/>
                <w:b/>
                <w:bCs/>
                <w:sz w:val="22"/>
                <w:szCs w:val="22"/>
                <w:lang w:eastAsia="en-GB"/>
              </w:rPr>
              <w:t>0</w:t>
            </w:r>
          </w:p>
        </w:tc>
        <w:tc>
          <w:tcPr>
            <w:tcW w:w="1665" w:type="dxa"/>
            <w:shd w:val="clear" w:color="auto" w:fill="auto"/>
            <w:vAlign w:val="center"/>
            <w:hideMark/>
          </w:tcPr>
          <w:p w14:paraId="334CA6FD" w14:textId="77777777" w:rsidR="00E608AD" w:rsidRPr="001D52A0" w:rsidRDefault="00E608AD" w:rsidP="00E608AD">
            <w:pPr>
              <w:jc w:val="right"/>
              <w:rPr>
                <w:rFonts w:asciiTheme="minorHAnsi" w:hAnsiTheme="minorHAnsi" w:cs="Arial"/>
                <w:b/>
                <w:bCs/>
                <w:sz w:val="22"/>
                <w:szCs w:val="22"/>
                <w:lang w:eastAsia="en-GB"/>
              </w:rPr>
            </w:pPr>
            <w:r w:rsidRPr="001D52A0">
              <w:rPr>
                <w:rFonts w:asciiTheme="minorHAnsi" w:hAnsiTheme="minorHAnsi" w:cs="Arial"/>
                <w:b/>
                <w:bCs/>
                <w:sz w:val="22"/>
                <w:szCs w:val="22"/>
                <w:lang w:eastAsia="en-GB"/>
              </w:rPr>
              <w:t>0</w:t>
            </w:r>
          </w:p>
        </w:tc>
      </w:tr>
    </w:tbl>
    <w:p w14:paraId="3A6045EB" w14:textId="77777777" w:rsidR="003C7435" w:rsidRPr="001D52A0" w:rsidRDefault="003C7435" w:rsidP="00FD00A1">
      <w:pPr>
        <w:autoSpaceDE w:val="0"/>
        <w:autoSpaceDN w:val="0"/>
        <w:adjustRightInd w:val="0"/>
        <w:spacing w:before="240" w:after="120"/>
        <w:ind w:left="1347"/>
        <w:jc w:val="both"/>
        <w:rPr>
          <w:rFonts w:asciiTheme="minorHAnsi" w:hAnsiTheme="minorHAnsi" w:cs="Arial"/>
          <w:sz w:val="22"/>
          <w:szCs w:val="22"/>
        </w:rPr>
      </w:pPr>
    </w:p>
    <w:tbl>
      <w:tblPr>
        <w:tblW w:w="8036" w:type="dxa"/>
        <w:tblInd w:w="1440" w:type="dxa"/>
        <w:tblLook w:val="04A0" w:firstRow="1" w:lastRow="0" w:firstColumn="1" w:lastColumn="0" w:noHBand="0" w:noVBand="1"/>
      </w:tblPr>
      <w:tblGrid>
        <w:gridCol w:w="3041"/>
        <w:gridCol w:w="1665"/>
        <w:gridCol w:w="1665"/>
        <w:gridCol w:w="1665"/>
      </w:tblGrid>
      <w:tr w:rsidR="008E6D96" w:rsidRPr="001D52A0" w14:paraId="5AF86FEE" w14:textId="77777777" w:rsidTr="008E6D96">
        <w:trPr>
          <w:trHeight w:val="405"/>
        </w:trPr>
        <w:tc>
          <w:tcPr>
            <w:tcW w:w="3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71AF2" w14:textId="77777777" w:rsidR="008E6D96" w:rsidRPr="001D52A0" w:rsidRDefault="008E6D96" w:rsidP="008E6D96">
            <w:pPr>
              <w:rPr>
                <w:rFonts w:asciiTheme="minorHAnsi" w:hAnsiTheme="minorHAnsi" w:cs="Arial"/>
                <w:b/>
                <w:bCs/>
                <w:sz w:val="22"/>
                <w:szCs w:val="22"/>
                <w:lang w:eastAsia="en-GB"/>
              </w:rPr>
            </w:pPr>
            <w:r w:rsidRPr="001D52A0">
              <w:rPr>
                <w:rFonts w:asciiTheme="minorHAnsi" w:hAnsiTheme="minorHAnsi" w:cs="Arial"/>
                <w:b/>
                <w:bCs/>
                <w:sz w:val="22"/>
                <w:szCs w:val="22"/>
                <w:lang w:eastAsia="en-GB"/>
              </w:rPr>
              <w:t>PAYT (SERC cost)</w:t>
            </w:r>
          </w:p>
        </w:tc>
        <w:tc>
          <w:tcPr>
            <w:tcW w:w="1665" w:type="dxa"/>
            <w:tcBorders>
              <w:top w:val="single" w:sz="4" w:space="0" w:color="auto"/>
              <w:left w:val="single" w:sz="4" w:space="0" w:color="auto"/>
              <w:bottom w:val="single" w:sz="4" w:space="0" w:color="auto"/>
              <w:right w:val="single" w:sz="4" w:space="0" w:color="auto"/>
            </w:tcBorders>
            <w:vAlign w:val="center"/>
          </w:tcPr>
          <w:p w14:paraId="256102C3" w14:textId="77777777" w:rsidR="008E6D96" w:rsidRPr="001D52A0" w:rsidRDefault="008E6D96" w:rsidP="008E6D96">
            <w:pPr>
              <w:jc w:val="right"/>
              <w:rPr>
                <w:rFonts w:asciiTheme="minorHAnsi" w:hAnsiTheme="minorHAnsi" w:cs="Arial"/>
                <w:b/>
                <w:bCs/>
                <w:sz w:val="22"/>
                <w:szCs w:val="22"/>
                <w:lang w:eastAsia="en-GB"/>
              </w:rPr>
            </w:pPr>
            <w:r w:rsidRPr="001D52A0">
              <w:rPr>
                <w:rFonts w:asciiTheme="minorHAnsi" w:hAnsiTheme="minorHAnsi" w:cs="Arial"/>
                <w:b/>
                <w:bCs/>
                <w:sz w:val="22"/>
                <w:szCs w:val="22"/>
                <w:lang w:eastAsia="en-GB"/>
              </w:rPr>
              <w:t>2023/24</w:t>
            </w:r>
          </w:p>
          <w:p w14:paraId="308308B3" w14:textId="15B3B6A7" w:rsidR="008E6D96" w:rsidRPr="001D52A0" w:rsidRDefault="008E6D96" w:rsidP="008E6D96">
            <w:pPr>
              <w:jc w:val="right"/>
              <w:rPr>
                <w:rFonts w:asciiTheme="minorHAnsi" w:hAnsiTheme="minorHAnsi" w:cs="Arial"/>
                <w:b/>
                <w:bCs/>
                <w:sz w:val="22"/>
                <w:szCs w:val="22"/>
                <w:lang w:eastAsia="en-GB"/>
              </w:rPr>
            </w:pPr>
            <w:r w:rsidRPr="001D52A0">
              <w:rPr>
                <w:rFonts w:asciiTheme="minorHAnsi" w:hAnsiTheme="minorHAnsi" w:cs="Arial"/>
                <w:b/>
                <w:bCs/>
                <w:sz w:val="22"/>
                <w:szCs w:val="22"/>
                <w:lang w:eastAsia="en-GB"/>
              </w:rPr>
              <w:t>£000’s</w:t>
            </w:r>
          </w:p>
        </w:tc>
        <w:tc>
          <w:tcPr>
            <w:tcW w:w="1665" w:type="dxa"/>
            <w:tcBorders>
              <w:top w:val="single" w:sz="4" w:space="0" w:color="auto"/>
              <w:left w:val="single" w:sz="4" w:space="0" w:color="auto"/>
              <w:bottom w:val="single" w:sz="4" w:space="0" w:color="auto"/>
              <w:right w:val="single" w:sz="4" w:space="0" w:color="auto"/>
            </w:tcBorders>
            <w:vAlign w:val="center"/>
          </w:tcPr>
          <w:p w14:paraId="00816FD6" w14:textId="1C511C2A" w:rsidR="008E6D96" w:rsidRPr="001D52A0" w:rsidRDefault="008E6D96" w:rsidP="008E6D96">
            <w:pPr>
              <w:jc w:val="right"/>
              <w:rPr>
                <w:rFonts w:asciiTheme="minorHAnsi" w:hAnsiTheme="minorHAnsi" w:cs="Arial"/>
                <w:b/>
                <w:bCs/>
                <w:sz w:val="22"/>
                <w:szCs w:val="22"/>
                <w:lang w:eastAsia="en-GB"/>
              </w:rPr>
            </w:pPr>
            <w:r w:rsidRPr="001D52A0">
              <w:rPr>
                <w:rFonts w:asciiTheme="minorHAnsi" w:hAnsiTheme="minorHAnsi" w:cs="Arial"/>
                <w:b/>
                <w:bCs/>
                <w:sz w:val="22"/>
                <w:szCs w:val="22"/>
                <w:lang w:eastAsia="en-GB"/>
              </w:rPr>
              <w:t>2024/25</w:t>
            </w:r>
          </w:p>
          <w:p w14:paraId="00AC27E2" w14:textId="77777777" w:rsidR="008E6D96" w:rsidRPr="001D52A0" w:rsidRDefault="008E6D96" w:rsidP="008E6D96">
            <w:pPr>
              <w:jc w:val="right"/>
              <w:rPr>
                <w:rFonts w:asciiTheme="minorHAnsi" w:hAnsiTheme="minorHAnsi" w:cs="Arial"/>
                <w:b/>
                <w:bCs/>
                <w:sz w:val="22"/>
                <w:szCs w:val="22"/>
                <w:lang w:eastAsia="en-GB"/>
              </w:rPr>
            </w:pPr>
            <w:r w:rsidRPr="001D52A0">
              <w:rPr>
                <w:rFonts w:asciiTheme="minorHAnsi" w:hAnsiTheme="minorHAnsi" w:cs="Arial"/>
                <w:b/>
                <w:bCs/>
                <w:sz w:val="22"/>
                <w:szCs w:val="22"/>
                <w:lang w:eastAsia="en-GB"/>
              </w:rPr>
              <w:t>£000’s</w:t>
            </w:r>
          </w:p>
        </w:tc>
        <w:tc>
          <w:tcPr>
            <w:tcW w:w="1665" w:type="dxa"/>
            <w:tcBorders>
              <w:top w:val="single" w:sz="4" w:space="0" w:color="auto"/>
              <w:left w:val="nil"/>
              <w:bottom w:val="single" w:sz="4" w:space="0" w:color="auto"/>
              <w:right w:val="single" w:sz="4" w:space="0" w:color="auto"/>
            </w:tcBorders>
            <w:shd w:val="clear" w:color="auto" w:fill="auto"/>
            <w:vAlign w:val="center"/>
            <w:hideMark/>
          </w:tcPr>
          <w:p w14:paraId="15A41442" w14:textId="77777777" w:rsidR="008E6D96" w:rsidRPr="001D52A0" w:rsidRDefault="008E6D96" w:rsidP="008E6D96">
            <w:pPr>
              <w:jc w:val="right"/>
              <w:rPr>
                <w:rFonts w:asciiTheme="minorHAnsi" w:hAnsiTheme="minorHAnsi" w:cs="Arial"/>
                <w:b/>
                <w:bCs/>
                <w:sz w:val="22"/>
                <w:szCs w:val="22"/>
                <w:lang w:eastAsia="en-GB"/>
              </w:rPr>
            </w:pPr>
            <w:r w:rsidRPr="001D52A0">
              <w:rPr>
                <w:rFonts w:asciiTheme="minorHAnsi" w:hAnsiTheme="minorHAnsi" w:cs="Arial"/>
                <w:b/>
                <w:bCs/>
                <w:sz w:val="22"/>
                <w:szCs w:val="22"/>
                <w:lang w:eastAsia="en-GB"/>
              </w:rPr>
              <w:t>Change</w:t>
            </w:r>
          </w:p>
          <w:p w14:paraId="52A9E664" w14:textId="77777777" w:rsidR="008E6D96" w:rsidRPr="001D52A0" w:rsidRDefault="008E6D96" w:rsidP="008E6D96">
            <w:pPr>
              <w:jc w:val="right"/>
              <w:rPr>
                <w:rFonts w:asciiTheme="minorHAnsi" w:hAnsiTheme="minorHAnsi" w:cs="Arial"/>
                <w:b/>
                <w:bCs/>
                <w:sz w:val="22"/>
                <w:szCs w:val="22"/>
                <w:lang w:eastAsia="en-GB"/>
              </w:rPr>
            </w:pPr>
            <w:r w:rsidRPr="001D52A0">
              <w:rPr>
                <w:rFonts w:asciiTheme="minorHAnsi" w:hAnsiTheme="minorHAnsi" w:cs="Arial"/>
                <w:b/>
                <w:bCs/>
                <w:sz w:val="22"/>
                <w:szCs w:val="22"/>
                <w:lang w:eastAsia="en-GB"/>
              </w:rPr>
              <w:t>£000’s</w:t>
            </w:r>
          </w:p>
        </w:tc>
      </w:tr>
      <w:tr w:rsidR="008E6D96" w:rsidRPr="001D52A0" w14:paraId="65D14D1F" w14:textId="77777777" w:rsidTr="008E6D96">
        <w:trPr>
          <w:trHeight w:val="405"/>
        </w:trPr>
        <w:tc>
          <w:tcPr>
            <w:tcW w:w="3041" w:type="dxa"/>
            <w:tcBorders>
              <w:top w:val="nil"/>
              <w:left w:val="single" w:sz="4" w:space="0" w:color="auto"/>
              <w:bottom w:val="single" w:sz="4" w:space="0" w:color="auto"/>
              <w:right w:val="single" w:sz="4" w:space="0" w:color="auto"/>
            </w:tcBorders>
            <w:shd w:val="clear" w:color="auto" w:fill="auto"/>
            <w:vAlign w:val="center"/>
            <w:hideMark/>
          </w:tcPr>
          <w:p w14:paraId="07EAE2FE" w14:textId="77777777" w:rsidR="008E6D96" w:rsidRPr="001D52A0" w:rsidRDefault="008E6D96" w:rsidP="008E6D96">
            <w:pPr>
              <w:rPr>
                <w:rFonts w:asciiTheme="minorHAnsi" w:hAnsiTheme="minorHAnsi" w:cs="Arial"/>
                <w:sz w:val="22"/>
                <w:szCs w:val="22"/>
                <w:lang w:eastAsia="en-GB"/>
              </w:rPr>
            </w:pPr>
            <w:r w:rsidRPr="001D52A0">
              <w:rPr>
                <w:rFonts w:asciiTheme="minorHAnsi" w:hAnsiTheme="minorHAnsi" w:cs="Arial"/>
                <w:sz w:val="22"/>
                <w:szCs w:val="22"/>
                <w:lang w:eastAsia="en-GB"/>
              </w:rPr>
              <w:t>Depreciation (SERC)</w:t>
            </w:r>
          </w:p>
        </w:tc>
        <w:tc>
          <w:tcPr>
            <w:tcW w:w="1665" w:type="dxa"/>
            <w:tcBorders>
              <w:top w:val="nil"/>
              <w:left w:val="single" w:sz="4" w:space="0" w:color="auto"/>
              <w:bottom w:val="single" w:sz="4" w:space="0" w:color="auto"/>
              <w:right w:val="single" w:sz="4" w:space="0" w:color="auto"/>
            </w:tcBorders>
            <w:vAlign w:val="center"/>
          </w:tcPr>
          <w:p w14:paraId="28DA4F75" w14:textId="2A72E6E8" w:rsidR="008E6D96" w:rsidRPr="001D52A0" w:rsidRDefault="008E6D96" w:rsidP="008E6D96">
            <w:pPr>
              <w:jc w:val="right"/>
              <w:rPr>
                <w:rFonts w:asciiTheme="minorHAnsi" w:hAnsiTheme="minorHAnsi" w:cs="Arial"/>
                <w:sz w:val="22"/>
                <w:szCs w:val="22"/>
                <w:lang w:eastAsia="en-GB"/>
              </w:rPr>
            </w:pPr>
            <w:r w:rsidRPr="001D52A0">
              <w:rPr>
                <w:rFonts w:asciiTheme="minorHAnsi" w:hAnsiTheme="minorHAnsi" w:cs="Arial"/>
                <w:sz w:val="22"/>
                <w:szCs w:val="22"/>
                <w:lang w:eastAsia="en-GB"/>
              </w:rPr>
              <w:t>7,934</w:t>
            </w:r>
          </w:p>
        </w:tc>
        <w:tc>
          <w:tcPr>
            <w:tcW w:w="1665" w:type="dxa"/>
            <w:tcBorders>
              <w:top w:val="nil"/>
              <w:left w:val="single" w:sz="4" w:space="0" w:color="auto"/>
              <w:bottom w:val="single" w:sz="4" w:space="0" w:color="auto"/>
              <w:right w:val="single" w:sz="4" w:space="0" w:color="auto"/>
            </w:tcBorders>
            <w:vAlign w:val="center"/>
          </w:tcPr>
          <w:p w14:paraId="5912E278" w14:textId="1CDD33B1" w:rsidR="008E6D96" w:rsidRPr="001D52A0" w:rsidRDefault="008E6D96" w:rsidP="008E6D96">
            <w:pPr>
              <w:jc w:val="right"/>
              <w:rPr>
                <w:rFonts w:asciiTheme="minorHAnsi" w:hAnsiTheme="minorHAnsi" w:cs="Arial"/>
                <w:sz w:val="22"/>
                <w:szCs w:val="22"/>
                <w:lang w:eastAsia="en-GB"/>
              </w:rPr>
            </w:pPr>
            <w:r w:rsidRPr="001D52A0">
              <w:rPr>
                <w:rFonts w:asciiTheme="minorHAnsi" w:hAnsiTheme="minorHAnsi" w:cs="Arial"/>
                <w:sz w:val="22"/>
                <w:szCs w:val="22"/>
                <w:lang w:eastAsia="en-GB"/>
              </w:rPr>
              <w:t>8,304</w:t>
            </w:r>
          </w:p>
        </w:tc>
        <w:tc>
          <w:tcPr>
            <w:tcW w:w="1665" w:type="dxa"/>
            <w:tcBorders>
              <w:top w:val="nil"/>
              <w:left w:val="nil"/>
              <w:bottom w:val="single" w:sz="4" w:space="0" w:color="auto"/>
              <w:right w:val="single" w:sz="4" w:space="0" w:color="auto"/>
            </w:tcBorders>
            <w:shd w:val="clear" w:color="auto" w:fill="auto"/>
            <w:vAlign w:val="center"/>
          </w:tcPr>
          <w:p w14:paraId="08EF77BD" w14:textId="7DB136E4" w:rsidR="008E6D96" w:rsidRPr="001D52A0" w:rsidRDefault="008E6D96" w:rsidP="008E6D96">
            <w:pPr>
              <w:jc w:val="right"/>
              <w:rPr>
                <w:rFonts w:asciiTheme="minorHAnsi" w:hAnsiTheme="minorHAnsi" w:cs="Arial"/>
                <w:sz w:val="22"/>
                <w:szCs w:val="22"/>
                <w:lang w:eastAsia="en-GB"/>
              </w:rPr>
            </w:pPr>
            <w:r w:rsidRPr="001D52A0">
              <w:rPr>
                <w:rFonts w:asciiTheme="minorHAnsi" w:hAnsiTheme="minorHAnsi" w:cs="Arial"/>
                <w:sz w:val="22"/>
                <w:szCs w:val="22"/>
                <w:lang w:eastAsia="en-GB"/>
              </w:rPr>
              <w:t>371</w:t>
            </w:r>
          </w:p>
        </w:tc>
      </w:tr>
      <w:tr w:rsidR="008E6D96" w:rsidRPr="001D52A0" w14:paraId="349EC770" w14:textId="77777777" w:rsidTr="008E6D96">
        <w:trPr>
          <w:trHeight w:val="405"/>
        </w:trPr>
        <w:tc>
          <w:tcPr>
            <w:tcW w:w="3041" w:type="dxa"/>
            <w:tcBorders>
              <w:top w:val="nil"/>
              <w:left w:val="single" w:sz="4" w:space="0" w:color="auto"/>
              <w:bottom w:val="single" w:sz="4" w:space="0" w:color="auto"/>
              <w:right w:val="single" w:sz="4" w:space="0" w:color="auto"/>
            </w:tcBorders>
            <w:shd w:val="clear" w:color="auto" w:fill="auto"/>
            <w:vAlign w:val="center"/>
            <w:hideMark/>
          </w:tcPr>
          <w:p w14:paraId="298898B2" w14:textId="77777777" w:rsidR="008E6D96" w:rsidRPr="001D52A0" w:rsidRDefault="008E6D96" w:rsidP="008E6D96">
            <w:pPr>
              <w:rPr>
                <w:rFonts w:asciiTheme="minorHAnsi" w:hAnsiTheme="minorHAnsi" w:cs="Arial"/>
                <w:sz w:val="22"/>
                <w:szCs w:val="22"/>
                <w:lang w:eastAsia="en-GB"/>
              </w:rPr>
            </w:pPr>
            <w:r w:rsidRPr="001D52A0">
              <w:rPr>
                <w:rFonts w:asciiTheme="minorHAnsi" w:hAnsiTheme="minorHAnsi" w:cs="Arial"/>
                <w:sz w:val="22"/>
                <w:szCs w:val="22"/>
                <w:lang w:eastAsia="en-GB"/>
              </w:rPr>
              <w:t>Financing Costs (SERC)</w:t>
            </w:r>
          </w:p>
        </w:tc>
        <w:tc>
          <w:tcPr>
            <w:tcW w:w="1665" w:type="dxa"/>
            <w:tcBorders>
              <w:top w:val="nil"/>
              <w:left w:val="single" w:sz="4" w:space="0" w:color="auto"/>
              <w:bottom w:val="single" w:sz="4" w:space="0" w:color="auto"/>
              <w:right w:val="single" w:sz="4" w:space="0" w:color="auto"/>
            </w:tcBorders>
            <w:vAlign w:val="center"/>
          </w:tcPr>
          <w:p w14:paraId="2836E4F8" w14:textId="15111BA4" w:rsidR="008E6D96" w:rsidRPr="001D52A0" w:rsidRDefault="008E6D96" w:rsidP="008E6D96">
            <w:pPr>
              <w:jc w:val="right"/>
              <w:rPr>
                <w:rFonts w:asciiTheme="minorHAnsi" w:hAnsiTheme="minorHAnsi" w:cs="Arial"/>
                <w:sz w:val="22"/>
                <w:szCs w:val="22"/>
                <w:lang w:eastAsia="en-GB"/>
              </w:rPr>
            </w:pPr>
            <w:r w:rsidRPr="001D52A0">
              <w:rPr>
                <w:rFonts w:asciiTheme="minorHAnsi" w:hAnsiTheme="minorHAnsi" w:cs="Arial"/>
                <w:sz w:val="22"/>
                <w:szCs w:val="22"/>
                <w:lang w:eastAsia="en-GB"/>
              </w:rPr>
              <w:t>4,070</w:t>
            </w:r>
          </w:p>
        </w:tc>
        <w:tc>
          <w:tcPr>
            <w:tcW w:w="1665" w:type="dxa"/>
            <w:tcBorders>
              <w:top w:val="nil"/>
              <w:left w:val="single" w:sz="4" w:space="0" w:color="auto"/>
              <w:bottom w:val="single" w:sz="4" w:space="0" w:color="auto"/>
              <w:right w:val="single" w:sz="4" w:space="0" w:color="auto"/>
            </w:tcBorders>
            <w:vAlign w:val="center"/>
          </w:tcPr>
          <w:p w14:paraId="7856B6DB" w14:textId="5A2713FE" w:rsidR="008E6D96" w:rsidRPr="001D52A0" w:rsidRDefault="008E6D96" w:rsidP="008E6D96">
            <w:pPr>
              <w:jc w:val="right"/>
              <w:rPr>
                <w:rFonts w:asciiTheme="minorHAnsi" w:hAnsiTheme="minorHAnsi" w:cs="Arial"/>
                <w:sz w:val="22"/>
                <w:szCs w:val="22"/>
                <w:lang w:eastAsia="en-GB"/>
              </w:rPr>
            </w:pPr>
            <w:r w:rsidRPr="001D52A0">
              <w:rPr>
                <w:rFonts w:asciiTheme="minorHAnsi" w:hAnsiTheme="minorHAnsi" w:cs="Arial"/>
                <w:sz w:val="22"/>
                <w:szCs w:val="22"/>
                <w:lang w:eastAsia="en-GB"/>
              </w:rPr>
              <w:t>3,976</w:t>
            </w:r>
          </w:p>
        </w:tc>
        <w:tc>
          <w:tcPr>
            <w:tcW w:w="1665" w:type="dxa"/>
            <w:tcBorders>
              <w:top w:val="nil"/>
              <w:left w:val="nil"/>
              <w:bottom w:val="single" w:sz="4" w:space="0" w:color="auto"/>
              <w:right w:val="single" w:sz="4" w:space="0" w:color="auto"/>
            </w:tcBorders>
            <w:shd w:val="clear" w:color="auto" w:fill="auto"/>
            <w:vAlign w:val="center"/>
          </w:tcPr>
          <w:p w14:paraId="13C62C50" w14:textId="755A5361" w:rsidR="008E6D96" w:rsidRPr="001D52A0" w:rsidRDefault="008E6D96" w:rsidP="008E6D96">
            <w:pPr>
              <w:jc w:val="right"/>
              <w:rPr>
                <w:rFonts w:asciiTheme="minorHAnsi" w:hAnsiTheme="minorHAnsi" w:cs="Arial"/>
                <w:sz w:val="22"/>
                <w:szCs w:val="22"/>
                <w:lang w:eastAsia="en-GB"/>
              </w:rPr>
            </w:pPr>
            <w:r w:rsidRPr="001D52A0">
              <w:rPr>
                <w:rFonts w:asciiTheme="minorHAnsi" w:hAnsiTheme="minorHAnsi" w:cs="Arial"/>
                <w:sz w:val="22"/>
                <w:szCs w:val="22"/>
                <w:lang w:eastAsia="en-GB"/>
              </w:rPr>
              <w:t>(94)</w:t>
            </w:r>
          </w:p>
        </w:tc>
      </w:tr>
      <w:tr w:rsidR="008E6D96" w:rsidRPr="001D52A0" w14:paraId="796C7AEF" w14:textId="77777777" w:rsidTr="008E6D96">
        <w:trPr>
          <w:trHeight w:val="405"/>
        </w:trPr>
        <w:tc>
          <w:tcPr>
            <w:tcW w:w="3041" w:type="dxa"/>
            <w:tcBorders>
              <w:top w:val="nil"/>
              <w:left w:val="single" w:sz="4" w:space="0" w:color="auto"/>
              <w:bottom w:val="single" w:sz="4" w:space="0" w:color="auto"/>
              <w:right w:val="single" w:sz="4" w:space="0" w:color="auto"/>
            </w:tcBorders>
            <w:shd w:val="clear" w:color="auto" w:fill="auto"/>
            <w:vAlign w:val="center"/>
          </w:tcPr>
          <w:p w14:paraId="3DF96FE1" w14:textId="6BB3C4C0" w:rsidR="008E6D96" w:rsidRPr="001D52A0" w:rsidRDefault="008E6D96" w:rsidP="008E6D96">
            <w:pPr>
              <w:rPr>
                <w:rFonts w:asciiTheme="minorHAnsi" w:hAnsiTheme="minorHAnsi" w:cs="Arial"/>
                <w:sz w:val="22"/>
                <w:szCs w:val="22"/>
                <w:lang w:eastAsia="en-GB"/>
              </w:rPr>
            </w:pPr>
            <w:r w:rsidRPr="001D52A0">
              <w:rPr>
                <w:rFonts w:asciiTheme="minorHAnsi" w:hAnsiTheme="minorHAnsi" w:cs="Arial"/>
                <w:sz w:val="22"/>
                <w:szCs w:val="22"/>
                <w:lang w:eastAsia="en-GB"/>
              </w:rPr>
              <w:t>Insurance (SERC)</w:t>
            </w:r>
          </w:p>
        </w:tc>
        <w:tc>
          <w:tcPr>
            <w:tcW w:w="1665" w:type="dxa"/>
            <w:tcBorders>
              <w:top w:val="nil"/>
              <w:left w:val="single" w:sz="4" w:space="0" w:color="auto"/>
              <w:bottom w:val="single" w:sz="4" w:space="0" w:color="auto"/>
              <w:right w:val="single" w:sz="4" w:space="0" w:color="auto"/>
            </w:tcBorders>
            <w:vAlign w:val="center"/>
          </w:tcPr>
          <w:p w14:paraId="1DC7C2AC" w14:textId="77777777" w:rsidR="008E6D96" w:rsidRPr="001D52A0" w:rsidRDefault="008E6D96" w:rsidP="008E6D96">
            <w:pPr>
              <w:jc w:val="right"/>
              <w:rPr>
                <w:rFonts w:asciiTheme="minorHAnsi" w:hAnsiTheme="minorHAnsi" w:cs="Arial"/>
                <w:sz w:val="22"/>
                <w:szCs w:val="22"/>
                <w:lang w:eastAsia="en-GB"/>
              </w:rPr>
            </w:pPr>
          </w:p>
        </w:tc>
        <w:tc>
          <w:tcPr>
            <w:tcW w:w="1665" w:type="dxa"/>
            <w:tcBorders>
              <w:top w:val="nil"/>
              <w:left w:val="single" w:sz="4" w:space="0" w:color="auto"/>
              <w:bottom w:val="single" w:sz="4" w:space="0" w:color="auto"/>
              <w:right w:val="single" w:sz="4" w:space="0" w:color="auto"/>
            </w:tcBorders>
            <w:vAlign w:val="center"/>
          </w:tcPr>
          <w:p w14:paraId="2545D00D" w14:textId="0D1769FF" w:rsidR="008E6D96" w:rsidRPr="001D52A0" w:rsidRDefault="008E6D96" w:rsidP="008E6D96">
            <w:pPr>
              <w:jc w:val="right"/>
              <w:rPr>
                <w:rFonts w:asciiTheme="minorHAnsi" w:hAnsiTheme="minorHAnsi" w:cs="Arial"/>
                <w:sz w:val="22"/>
                <w:szCs w:val="22"/>
                <w:lang w:eastAsia="en-GB"/>
              </w:rPr>
            </w:pPr>
            <w:r w:rsidRPr="001D52A0">
              <w:rPr>
                <w:rFonts w:asciiTheme="minorHAnsi" w:hAnsiTheme="minorHAnsi" w:cs="Arial"/>
                <w:sz w:val="22"/>
                <w:szCs w:val="22"/>
                <w:lang w:eastAsia="en-GB"/>
              </w:rPr>
              <w:t>1,084</w:t>
            </w:r>
          </w:p>
        </w:tc>
        <w:tc>
          <w:tcPr>
            <w:tcW w:w="1665" w:type="dxa"/>
            <w:tcBorders>
              <w:top w:val="nil"/>
              <w:left w:val="nil"/>
              <w:bottom w:val="single" w:sz="4" w:space="0" w:color="auto"/>
              <w:right w:val="single" w:sz="4" w:space="0" w:color="auto"/>
            </w:tcBorders>
            <w:shd w:val="clear" w:color="auto" w:fill="auto"/>
            <w:vAlign w:val="center"/>
          </w:tcPr>
          <w:p w14:paraId="1A84F30A" w14:textId="2E51DFF2" w:rsidR="008E6D96" w:rsidRPr="001D52A0" w:rsidRDefault="008E6D96" w:rsidP="008E6D96">
            <w:pPr>
              <w:jc w:val="right"/>
              <w:rPr>
                <w:rFonts w:asciiTheme="minorHAnsi" w:hAnsiTheme="minorHAnsi" w:cs="Arial"/>
                <w:sz w:val="22"/>
                <w:szCs w:val="22"/>
                <w:lang w:eastAsia="en-GB"/>
              </w:rPr>
            </w:pPr>
            <w:r w:rsidRPr="001D52A0">
              <w:rPr>
                <w:rFonts w:asciiTheme="minorHAnsi" w:hAnsiTheme="minorHAnsi" w:cs="Arial"/>
                <w:sz w:val="22"/>
                <w:szCs w:val="22"/>
                <w:lang w:eastAsia="en-GB"/>
              </w:rPr>
              <w:t>1,084</w:t>
            </w:r>
          </w:p>
        </w:tc>
      </w:tr>
      <w:tr w:rsidR="008E6D96" w:rsidRPr="001D52A0" w14:paraId="722ADC2C" w14:textId="77777777" w:rsidTr="008E6D96">
        <w:trPr>
          <w:trHeight w:val="405"/>
        </w:trPr>
        <w:tc>
          <w:tcPr>
            <w:tcW w:w="3041" w:type="dxa"/>
            <w:tcBorders>
              <w:top w:val="nil"/>
              <w:left w:val="single" w:sz="4" w:space="0" w:color="auto"/>
              <w:bottom w:val="single" w:sz="4" w:space="0" w:color="auto"/>
              <w:right w:val="single" w:sz="4" w:space="0" w:color="auto"/>
            </w:tcBorders>
            <w:shd w:val="clear" w:color="auto" w:fill="auto"/>
            <w:vAlign w:val="center"/>
            <w:hideMark/>
          </w:tcPr>
          <w:p w14:paraId="4A55ED60" w14:textId="77777777" w:rsidR="008E6D96" w:rsidRPr="001D52A0" w:rsidRDefault="008E6D96" w:rsidP="008E6D96">
            <w:pPr>
              <w:rPr>
                <w:rFonts w:asciiTheme="minorHAnsi" w:hAnsiTheme="minorHAnsi" w:cs="Arial"/>
                <w:sz w:val="22"/>
                <w:szCs w:val="22"/>
                <w:lang w:eastAsia="en-GB"/>
              </w:rPr>
            </w:pPr>
            <w:r w:rsidRPr="001D52A0">
              <w:rPr>
                <w:rFonts w:asciiTheme="minorHAnsi" w:hAnsiTheme="minorHAnsi" w:cs="Arial"/>
                <w:sz w:val="22"/>
                <w:szCs w:val="22"/>
                <w:lang w:eastAsia="en-GB"/>
              </w:rPr>
              <w:t>Premises (SERC)</w:t>
            </w:r>
          </w:p>
        </w:tc>
        <w:tc>
          <w:tcPr>
            <w:tcW w:w="1665" w:type="dxa"/>
            <w:tcBorders>
              <w:top w:val="nil"/>
              <w:left w:val="single" w:sz="4" w:space="0" w:color="auto"/>
              <w:bottom w:val="single" w:sz="4" w:space="0" w:color="auto"/>
              <w:right w:val="single" w:sz="4" w:space="0" w:color="auto"/>
            </w:tcBorders>
            <w:vAlign w:val="center"/>
          </w:tcPr>
          <w:p w14:paraId="49D6A328" w14:textId="4C5E0F63" w:rsidR="008E6D96" w:rsidRPr="001D52A0" w:rsidRDefault="008E6D96" w:rsidP="008E6D96">
            <w:pPr>
              <w:jc w:val="right"/>
              <w:rPr>
                <w:rFonts w:asciiTheme="minorHAnsi" w:hAnsiTheme="minorHAnsi" w:cs="Arial"/>
                <w:sz w:val="22"/>
                <w:szCs w:val="22"/>
                <w:lang w:eastAsia="en-GB"/>
              </w:rPr>
            </w:pPr>
            <w:r w:rsidRPr="001D52A0">
              <w:rPr>
                <w:rFonts w:asciiTheme="minorHAnsi" w:hAnsiTheme="minorHAnsi" w:cs="Arial"/>
                <w:sz w:val="22"/>
                <w:szCs w:val="22"/>
                <w:lang w:eastAsia="en-GB"/>
              </w:rPr>
              <w:t>1,210</w:t>
            </w:r>
          </w:p>
        </w:tc>
        <w:tc>
          <w:tcPr>
            <w:tcW w:w="1665" w:type="dxa"/>
            <w:tcBorders>
              <w:top w:val="nil"/>
              <w:left w:val="single" w:sz="4" w:space="0" w:color="auto"/>
              <w:bottom w:val="single" w:sz="4" w:space="0" w:color="auto"/>
              <w:right w:val="single" w:sz="4" w:space="0" w:color="auto"/>
            </w:tcBorders>
            <w:vAlign w:val="center"/>
          </w:tcPr>
          <w:p w14:paraId="5D8065F9" w14:textId="2F7AFA8C" w:rsidR="008E6D96" w:rsidRPr="001D52A0" w:rsidRDefault="008E6D96" w:rsidP="008E6D96">
            <w:pPr>
              <w:jc w:val="right"/>
              <w:rPr>
                <w:rFonts w:asciiTheme="minorHAnsi" w:hAnsiTheme="minorHAnsi" w:cs="Arial"/>
                <w:sz w:val="22"/>
                <w:szCs w:val="22"/>
                <w:lang w:eastAsia="en-GB"/>
              </w:rPr>
            </w:pPr>
            <w:r w:rsidRPr="001D52A0">
              <w:rPr>
                <w:rFonts w:asciiTheme="minorHAnsi" w:hAnsiTheme="minorHAnsi" w:cs="Arial"/>
                <w:sz w:val="22"/>
                <w:szCs w:val="22"/>
                <w:lang w:eastAsia="en-GB"/>
              </w:rPr>
              <w:t>1,892</w:t>
            </w:r>
          </w:p>
        </w:tc>
        <w:tc>
          <w:tcPr>
            <w:tcW w:w="1665" w:type="dxa"/>
            <w:tcBorders>
              <w:top w:val="nil"/>
              <w:left w:val="nil"/>
              <w:bottom w:val="single" w:sz="4" w:space="0" w:color="auto"/>
              <w:right w:val="single" w:sz="4" w:space="0" w:color="auto"/>
            </w:tcBorders>
            <w:shd w:val="clear" w:color="auto" w:fill="auto"/>
            <w:vAlign w:val="center"/>
          </w:tcPr>
          <w:p w14:paraId="7F18B6D4" w14:textId="3D22D4A0" w:rsidR="008E6D96" w:rsidRPr="001D52A0" w:rsidRDefault="008E6D96" w:rsidP="008E6D96">
            <w:pPr>
              <w:jc w:val="right"/>
              <w:rPr>
                <w:rFonts w:asciiTheme="minorHAnsi" w:hAnsiTheme="minorHAnsi" w:cs="Arial"/>
                <w:sz w:val="22"/>
                <w:szCs w:val="22"/>
                <w:lang w:eastAsia="en-GB"/>
              </w:rPr>
            </w:pPr>
            <w:r w:rsidRPr="001D52A0">
              <w:rPr>
                <w:rFonts w:asciiTheme="minorHAnsi" w:hAnsiTheme="minorHAnsi" w:cs="Arial"/>
                <w:sz w:val="22"/>
                <w:szCs w:val="22"/>
                <w:lang w:eastAsia="en-GB"/>
              </w:rPr>
              <w:t>682</w:t>
            </w:r>
          </w:p>
        </w:tc>
      </w:tr>
      <w:tr w:rsidR="008E6D96" w:rsidRPr="001D52A0" w14:paraId="18A4701C" w14:textId="77777777" w:rsidTr="008E6D96">
        <w:trPr>
          <w:trHeight w:val="405"/>
        </w:trPr>
        <w:tc>
          <w:tcPr>
            <w:tcW w:w="3041" w:type="dxa"/>
            <w:tcBorders>
              <w:top w:val="nil"/>
              <w:left w:val="single" w:sz="4" w:space="0" w:color="auto"/>
              <w:bottom w:val="single" w:sz="4" w:space="0" w:color="auto"/>
              <w:right w:val="single" w:sz="4" w:space="0" w:color="auto"/>
            </w:tcBorders>
            <w:shd w:val="clear" w:color="auto" w:fill="auto"/>
            <w:vAlign w:val="center"/>
            <w:hideMark/>
          </w:tcPr>
          <w:p w14:paraId="714D793F" w14:textId="77777777" w:rsidR="008E6D96" w:rsidRPr="001D52A0" w:rsidRDefault="008E6D96" w:rsidP="008E6D96">
            <w:pPr>
              <w:rPr>
                <w:rFonts w:asciiTheme="minorHAnsi" w:hAnsiTheme="minorHAnsi" w:cs="Arial"/>
                <w:sz w:val="22"/>
                <w:szCs w:val="22"/>
                <w:lang w:eastAsia="en-GB"/>
              </w:rPr>
            </w:pPr>
            <w:r w:rsidRPr="001D52A0">
              <w:rPr>
                <w:rFonts w:asciiTheme="minorHAnsi" w:hAnsiTheme="minorHAnsi" w:cs="Arial"/>
                <w:sz w:val="22"/>
                <w:szCs w:val="22"/>
                <w:lang w:eastAsia="en-GB"/>
              </w:rPr>
              <w:t xml:space="preserve">Concession Accounting Adjustment (SERC) </w:t>
            </w:r>
          </w:p>
        </w:tc>
        <w:tc>
          <w:tcPr>
            <w:tcW w:w="1665" w:type="dxa"/>
            <w:tcBorders>
              <w:top w:val="nil"/>
              <w:left w:val="single" w:sz="4" w:space="0" w:color="auto"/>
              <w:bottom w:val="single" w:sz="4" w:space="0" w:color="auto"/>
              <w:right w:val="single" w:sz="4" w:space="0" w:color="auto"/>
            </w:tcBorders>
            <w:vAlign w:val="center"/>
          </w:tcPr>
          <w:p w14:paraId="4BA0ED02" w14:textId="4F811444" w:rsidR="008E6D96" w:rsidRPr="001D52A0" w:rsidRDefault="008E6D96" w:rsidP="008E6D96">
            <w:pPr>
              <w:jc w:val="right"/>
              <w:rPr>
                <w:rFonts w:asciiTheme="minorHAnsi" w:hAnsiTheme="minorHAnsi" w:cs="Arial"/>
                <w:sz w:val="22"/>
                <w:szCs w:val="22"/>
                <w:lang w:eastAsia="en-GB"/>
              </w:rPr>
            </w:pPr>
            <w:r w:rsidRPr="001D52A0">
              <w:rPr>
                <w:rFonts w:asciiTheme="minorHAnsi" w:hAnsiTheme="minorHAnsi" w:cs="Arial"/>
                <w:sz w:val="22"/>
                <w:szCs w:val="22"/>
                <w:lang w:eastAsia="en-GB"/>
              </w:rPr>
              <w:t>(4,114)</w:t>
            </w:r>
          </w:p>
        </w:tc>
        <w:tc>
          <w:tcPr>
            <w:tcW w:w="1665" w:type="dxa"/>
            <w:tcBorders>
              <w:top w:val="nil"/>
              <w:left w:val="single" w:sz="4" w:space="0" w:color="auto"/>
              <w:bottom w:val="single" w:sz="4" w:space="0" w:color="auto"/>
              <w:right w:val="single" w:sz="4" w:space="0" w:color="auto"/>
            </w:tcBorders>
            <w:vAlign w:val="center"/>
          </w:tcPr>
          <w:p w14:paraId="44314A11" w14:textId="0EA3EB8C" w:rsidR="008E6D96" w:rsidRPr="001D52A0" w:rsidRDefault="008E6D96" w:rsidP="008E6D96">
            <w:pPr>
              <w:jc w:val="right"/>
              <w:rPr>
                <w:rFonts w:asciiTheme="minorHAnsi" w:hAnsiTheme="minorHAnsi" w:cs="Arial"/>
                <w:sz w:val="22"/>
                <w:szCs w:val="22"/>
                <w:lang w:eastAsia="en-GB"/>
              </w:rPr>
            </w:pPr>
            <w:r w:rsidRPr="001D52A0">
              <w:rPr>
                <w:rFonts w:asciiTheme="minorHAnsi" w:hAnsiTheme="minorHAnsi" w:cs="Arial"/>
                <w:sz w:val="22"/>
                <w:szCs w:val="22"/>
                <w:lang w:eastAsia="en-GB"/>
              </w:rPr>
              <w:t>(4,215)</w:t>
            </w:r>
          </w:p>
        </w:tc>
        <w:tc>
          <w:tcPr>
            <w:tcW w:w="1665" w:type="dxa"/>
            <w:tcBorders>
              <w:top w:val="nil"/>
              <w:left w:val="nil"/>
              <w:bottom w:val="single" w:sz="4" w:space="0" w:color="auto"/>
              <w:right w:val="single" w:sz="4" w:space="0" w:color="auto"/>
            </w:tcBorders>
            <w:shd w:val="clear" w:color="auto" w:fill="auto"/>
            <w:vAlign w:val="center"/>
          </w:tcPr>
          <w:p w14:paraId="5C49DCB2" w14:textId="1F58EB29" w:rsidR="008E6D96" w:rsidRPr="001D52A0" w:rsidRDefault="008E6D96" w:rsidP="008E6D96">
            <w:pPr>
              <w:jc w:val="right"/>
              <w:rPr>
                <w:rFonts w:asciiTheme="minorHAnsi" w:hAnsiTheme="minorHAnsi" w:cs="Arial"/>
                <w:sz w:val="22"/>
                <w:szCs w:val="22"/>
                <w:lang w:eastAsia="en-GB"/>
              </w:rPr>
            </w:pPr>
            <w:r w:rsidRPr="001D52A0">
              <w:rPr>
                <w:rFonts w:asciiTheme="minorHAnsi" w:hAnsiTheme="minorHAnsi" w:cs="Arial"/>
                <w:sz w:val="22"/>
                <w:szCs w:val="22"/>
                <w:lang w:eastAsia="en-GB"/>
              </w:rPr>
              <w:t>(102)</w:t>
            </w:r>
          </w:p>
        </w:tc>
      </w:tr>
      <w:tr w:rsidR="008E6D96" w:rsidRPr="001D52A0" w14:paraId="67DCBF50" w14:textId="77777777" w:rsidTr="008E6D96">
        <w:trPr>
          <w:trHeight w:val="405"/>
        </w:trPr>
        <w:tc>
          <w:tcPr>
            <w:tcW w:w="3041" w:type="dxa"/>
            <w:tcBorders>
              <w:top w:val="nil"/>
              <w:left w:val="single" w:sz="4" w:space="0" w:color="auto"/>
              <w:bottom w:val="single" w:sz="4" w:space="0" w:color="auto"/>
              <w:right w:val="single" w:sz="4" w:space="0" w:color="auto"/>
            </w:tcBorders>
            <w:shd w:val="clear" w:color="auto" w:fill="auto"/>
            <w:vAlign w:val="center"/>
            <w:hideMark/>
          </w:tcPr>
          <w:p w14:paraId="776D94AC" w14:textId="77777777" w:rsidR="008E6D96" w:rsidRPr="001D52A0" w:rsidRDefault="008E6D96" w:rsidP="008E6D96">
            <w:pPr>
              <w:rPr>
                <w:rFonts w:asciiTheme="minorHAnsi" w:hAnsiTheme="minorHAnsi" w:cs="Arial"/>
                <w:sz w:val="22"/>
                <w:szCs w:val="22"/>
                <w:lang w:eastAsia="en-GB"/>
              </w:rPr>
            </w:pPr>
            <w:r w:rsidRPr="001D52A0">
              <w:rPr>
                <w:rFonts w:asciiTheme="minorHAnsi" w:hAnsiTheme="minorHAnsi" w:cs="Arial"/>
                <w:sz w:val="22"/>
                <w:szCs w:val="22"/>
                <w:lang w:eastAsia="en-GB"/>
              </w:rPr>
              <w:lastRenderedPageBreak/>
              <w:t>PAYT Levy (SERC)</w:t>
            </w:r>
          </w:p>
        </w:tc>
        <w:tc>
          <w:tcPr>
            <w:tcW w:w="1665" w:type="dxa"/>
            <w:tcBorders>
              <w:top w:val="nil"/>
              <w:left w:val="single" w:sz="4" w:space="0" w:color="auto"/>
              <w:bottom w:val="single" w:sz="4" w:space="0" w:color="auto"/>
              <w:right w:val="single" w:sz="4" w:space="0" w:color="auto"/>
            </w:tcBorders>
            <w:vAlign w:val="center"/>
          </w:tcPr>
          <w:p w14:paraId="6733A016" w14:textId="25F36399" w:rsidR="008E6D96" w:rsidRPr="001D52A0" w:rsidRDefault="008E6D96" w:rsidP="008E6D96">
            <w:pPr>
              <w:jc w:val="right"/>
              <w:rPr>
                <w:rFonts w:asciiTheme="minorHAnsi" w:hAnsiTheme="minorHAnsi" w:cs="Arial"/>
                <w:sz w:val="22"/>
                <w:szCs w:val="22"/>
                <w:lang w:eastAsia="en-GB"/>
              </w:rPr>
            </w:pPr>
            <w:r w:rsidRPr="001D52A0">
              <w:rPr>
                <w:rFonts w:asciiTheme="minorHAnsi" w:hAnsiTheme="minorHAnsi" w:cs="Arial"/>
                <w:sz w:val="22"/>
                <w:szCs w:val="22"/>
                <w:lang w:eastAsia="en-GB"/>
              </w:rPr>
              <w:t>(9,100)</w:t>
            </w:r>
          </w:p>
        </w:tc>
        <w:tc>
          <w:tcPr>
            <w:tcW w:w="1665" w:type="dxa"/>
            <w:tcBorders>
              <w:top w:val="nil"/>
              <w:left w:val="single" w:sz="4" w:space="0" w:color="auto"/>
              <w:bottom w:val="single" w:sz="4" w:space="0" w:color="auto"/>
              <w:right w:val="single" w:sz="4" w:space="0" w:color="auto"/>
            </w:tcBorders>
            <w:vAlign w:val="center"/>
          </w:tcPr>
          <w:p w14:paraId="41ED74A8" w14:textId="15B84145" w:rsidR="008E6D96" w:rsidRPr="001D52A0" w:rsidRDefault="008E6D96" w:rsidP="008E6D96">
            <w:pPr>
              <w:jc w:val="right"/>
              <w:rPr>
                <w:rFonts w:asciiTheme="minorHAnsi" w:hAnsiTheme="minorHAnsi" w:cs="Arial"/>
                <w:sz w:val="22"/>
                <w:szCs w:val="22"/>
                <w:lang w:eastAsia="en-GB"/>
              </w:rPr>
            </w:pPr>
            <w:r w:rsidRPr="001D52A0">
              <w:rPr>
                <w:rFonts w:asciiTheme="minorHAnsi" w:hAnsiTheme="minorHAnsi" w:cs="Arial"/>
                <w:sz w:val="22"/>
                <w:szCs w:val="22"/>
                <w:lang w:eastAsia="en-GB"/>
              </w:rPr>
              <w:t>(11,040)</w:t>
            </w:r>
          </w:p>
        </w:tc>
        <w:tc>
          <w:tcPr>
            <w:tcW w:w="1665" w:type="dxa"/>
            <w:tcBorders>
              <w:top w:val="nil"/>
              <w:left w:val="nil"/>
              <w:bottom w:val="single" w:sz="4" w:space="0" w:color="auto"/>
              <w:right w:val="single" w:sz="4" w:space="0" w:color="auto"/>
            </w:tcBorders>
            <w:shd w:val="clear" w:color="auto" w:fill="auto"/>
            <w:vAlign w:val="center"/>
          </w:tcPr>
          <w:p w14:paraId="3D2FA514" w14:textId="4C9F0ADB" w:rsidR="008E6D96" w:rsidRPr="001D52A0" w:rsidRDefault="008E6D96" w:rsidP="008E6D96">
            <w:pPr>
              <w:jc w:val="right"/>
              <w:rPr>
                <w:rFonts w:asciiTheme="minorHAnsi" w:hAnsiTheme="minorHAnsi" w:cs="Arial"/>
                <w:sz w:val="22"/>
                <w:szCs w:val="22"/>
                <w:lang w:eastAsia="en-GB"/>
              </w:rPr>
            </w:pPr>
            <w:r w:rsidRPr="001D52A0">
              <w:rPr>
                <w:rFonts w:asciiTheme="minorHAnsi" w:hAnsiTheme="minorHAnsi" w:cs="Arial"/>
                <w:sz w:val="22"/>
                <w:szCs w:val="22"/>
                <w:lang w:eastAsia="en-GB"/>
              </w:rPr>
              <w:t>(1,940)</w:t>
            </w:r>
          </w:p>
        </w:tc>
      </w:tr>
      <w:tr w:rsidR="008E6D96" w:rsidRPr="001D52A0" w14:paraId="2903417A" w14:textId="77777777" w:rsidTr="008E6D96">
        <w:trPr>
          <w:trHeight w:val="405"/>
        </w:trPr>
        <w:tc>
          <w:tcPr>
            <w:tcW w:w="3041" w:type="dxa"/>
            <w:tcBorders>
              <w:top w:val="nil"/>
              <w:left w:val="single" w:sz="4" w:space="0" w:color="auto"/>
              <w:bottom w:val="single" w:sz="4" w:space="0" w:color="auto"/>
              <w:right w:val="single" w:sz="4" w:space="0" w:color="auto"/>
            </w:tcBorders>
            <w:shd w:val="clear" w:color="auto" w:fill="auto"/>
            <w:vAlign w:val="center"/>
            <w:hideMark/>
          </w:tcPr>
          <w:p w14:paraId="1AA4521B" w14:textId="77777777" w:rsidR="008E6D96" w:rsidRPr="001D52A0" w:rsidRDefault="008E6D96" w:rsidP="008E6D96">
            <w:pPr>
              <w:rPr>
                <w:rFonts w:asciiTheme="minorHAnsi" w:hAnsiTheme="minorHAnsi" w:cs="Arial"/>
                <w:b/>
                <w:bCs/>
                <w:sz w:val="22"/>
                <w:szCs w:val="22"/>
                <w:lang w:eastAsia="en-GB"/>
              </w:rPr>
            </w:pPr>
            <w:r w:rsidRPr="001D52A0">
              <w:rPr>
                <w:rFonts w:asciiTheme="minorHAnsi" w:hAnsiTheme="minorHAnsi" w:cs="Arial"/>
                <w:b/>
                <w:bCs/>
                <w:sz w:val="22"/>
                <w:szCs w:val="22"/>
                <w:lang w:eastAsia="en-GB"/>
              </w:rPr>
              <w:t>Total</w:t>
            </w:r>
          </w:p>
        </w:tc>
        <w:tc>
          <w:tcPr>
            <w:tcW w:w="1665" w:type="dxa"/>
            <w:tcBorders>
              <w:top w:val="nil"/>
              <w:left w:val="single" w:sz="4" w:space="0" w:color="auto"/>
              <w:bottom w:val="single" w:sz="4" w:space="0" w:color="auto"/>
              <w:right w:val="single" w:sz="4" w:space="0" w:color="auto"/>
            </w:tcBorders>
            <w:vAlign w:val="center"/>
          </w:tcPr>
          <w:p w14:paraId="5BFCB95B" w14:textId="0540B7D5" w:rsidR="008E6D96" w:rsidRPr="001D52A0" w:rsidRDefault="008E6D96" w:rsidP="008E6D96">
            <w:pPr>
              <w:jc w:val="right"/>
              <w:rPr>
                <w:rFonts w:asciiTheme="minorHAnsi" w:hAnsiTheme="minorHAnsi" w:cs="Arial"/>
                <w:b/>
                <w:bCs/>
                <w:sz w:val="22"/>
                <w:szCs w:val="22"/>
                <w:lang w:eastAsia="en-GB"/>
              </w:rPr>
            </w:pPr>
            <w:r w:rsidRPr="001D52A0">
              <w:rPr>
                <w:rFonts w:asciiTheme="minorHAnsi" w:hAnsiTheme="minorHAnsi" w:cs="Arial"/>
                <w:b/>
                <w:bCs/>
                <w:sz w:val="22"/>
                <w:szCs w:val="22"/>
                <w:lang w:eastAsia="en-GB"/>
              </w:rPr>
              <w:t>0</w:t>
            </w:r>
          </w:p>
        </w:tc>
        <w:tc>
          <w:tcPr>
            <w:tcW w:w="1665" w:type="dxa"/>
            <w:tcBorders>
              <w:top w:val="nil"/>
              <w:left w:val="single" w:sz="4" w:space="0" w:color="auto"/>
              <w:bottom w:val="single" w:sz="4" w:space="0" w:color="auto"/>
              <w:right w:val="single" w:sz="4" w:space="0" w:color="auto"/>
            </w:tcBorders>
            <w:vAlign w:val="center"/>
          </w:tcPr>
          <w:p w14:paraId="2CEE9AD2" w14:textId="429151D2" w:rsidR="008E6D96" w:rsidRPr="001D52A0" w:rsidRDefault="008E6D96" w:rsidP="008E6D96">
            <w:pPr>
              <w:jc w:val="right"/>
              <w:rPr>
                <w:rFonts w:asciiTheme="minorHAnsi" w:hAnsiTheme="minorHAnsi" w:cs="Arial"/>
                <w:b/>
                <w:bCs/>
                <w:sz w:val="22"/>
                <w:szCs w:val="22"/>
                <w:lang w:eastAsia="en-GB"/>
              </w:rPr>
            </w:pPr>
            <w:r w:rsidRPr="001D52A0">
              <w:rPr>
                <w:rFonts w:asciiTheme="minorHAnsi" w:hAnsiTheme="minorHAnsi" w:cs="Arial"/>
                <w:b/>
                <w:bCs/>
                <w:sz w:val="22"/>
                <w:szCs w:val="22"/>
                <w:lang w:eastAsia="en-GB"/>
              </w:rPr>
              <w:t>0</w:t>
            </w:r>
          </w:p>
        </w:tc>
        <w:tc>
          <w:tcPr>
            <w:tcW w:w="1665" w:type="dxa"/>
            <w:tcBorders>
              <w:top w:val="nil"/>
              <w:left w:val="nil"/>
              <w:bottom w:val="single" w:sz="4" w:space="0" w:color="auto"/>
              <w:right w:val="single" w:sz="4" w:space="0" w:color="auto"/>
            </w:tcBorders>
            <w:shd w:val="clear" w:color="auto" w:fill="auto"/>
            <w:vAlign w:val="center"/>
            <w:hideMark/>
          </w:tcPr>
          <w:p w14:paraId="5F4D069B" w14:textId="77777777" w:rsidR="008E6D96" w:rsidRPr="001D52A0" w:rsidRDefault="008E6D96" w:rsidP="008E6D96">
            <w:pPr>
              <w:jc w:val="right"/>
              <w:rPr>
                <w:rFonts w:asciiTheme="minorHAnsi" w:hAnsiTheme="minorHAnsi" w:cs="Arial"/>
                <w:b/>
                <w:bCs/>
                <w:sz w:val="22"/>
                <w:szCs w:val="22"/>
                <w:lang w:eastAsia="en-GB"/>
              </w:rPr>
            </w:pPr>
            <w:r w:rsidRPr="001D52A0">
              <w:rPr>
                <w:rFonts w:asciiTheme="minorHAnsi" w:hAnsiTheme="minorHAnsi" w:cs="Arial"/>
                <w:b/>
                <w:bCs/>
                <w:sz w:val="22"/>
                <w:szCs w:val="22"/>
                <w:lang w:eastAsia="en-GB"/>
              </w:rPr>
              <w:t>0</w:t>
            </w:r>
          </w:p>
        </w:tc>
      </w:tr>
    </w:tbl>
    <w:p w14:paraId="7CF39EA3" w14:textId="77777777" w:rsidR="003C7435" w:rsidRPr="001D52A0" w:rsidRDefault="003C7435" w:rsidP="00FD00A1">
      <w:pPr>
        <w:autoSpaceDE w:val="0"/>
        <w:autoSpaceDN w:val="0"/>
        <w:adjustRightInd w:val="0"/>
        <w:spacing w:before="240" w:after="120"/>
        <w:ind w:left="1347"/>
        <w:jc w:val="both"/>
        <w:rPr>
          <w:rFonts w:asciiTheme="minorHAnsi" w:hAnsiTheme="minorHAnsi" w:cs="Arial"/>
          <w:sz w:val="22"/>
          <w:szCs w:val="22"/>
        </w:rPr>
      </w:pPr>
    </w:p>
    <w:tbl>
      <w:tblPr>
        <w:tblW w:w="8045" w:type="dxa"/>
        <w:tblInd w:w="1440" w:type="dxa"/>
        <w:tblLook w:val="04A0" w:firstRow="1" w:lastRow="0" w:firstColumn="1" w:lastColumn="0" w:noHBand="0" w:noVBand="1"/>
      </w:tblPr>
      <w:tblGrid>
        <w:gridCol w:w="3074"/>
        <w:gridCol w:w="1657"/>
        <w:gridCol w:w="1657"/>
        <w:gridCol w:w="1657"/>
      </w:tblGrid>
      <w:tr w:rsidR="00B53800" w:rsidRPr="001D52A0" w14:paraId="4B6400F4" w14:textId="77777777" w:rsidTr="00B53800">
        <w:trPr>
          <w:trHeight w:val="405"/>
        </w:trPr>
        <w:tc>
          <w:tcPr>
            <w:tcW w:w="30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9D1B2" w14:textId="77777777" w:rsidR="00B53800" w:rsidRPr="001D52A0" w:rsidRDefault="00B53800" w:rsidP="00B53800">
            <w:pPr>
              <w:rPr>
                <w:rFonts w:asciiTheme="minorHAnsi" w:hAnsiTheme="minorHAnsi" w:cs="Arial"/>
                <w:b/>
                <w:bCs/>
                <w:sz w:val="22"/>
                <w:szCs w:val="22"/>
                <w:lang w:eastAsia="en-GB"/>
              </w:rPr>
            </w:pPr>
            <w:r w:rsidRPr="001D52A0">
              <w:rPr>
                <w:rFonts w:asciiTheme="minorHAnsi" w:hAnsiTheme="minorHAnsi" w:cs="Arial"/>
                <w:b/>
                <w:bCs/>
                <w:sz w:val="22"/>
                <w:szCs w:val="22"/>
                <w:lang w:eastAsia="en-GB"/>
              </w:rPr>
              <w:t>FCL</w:t>
            </w:r>
          </w:p>
        </w:tc>
        <w:tc>
          <w:tcPr>
            <w:tcW w:w="1657" w:type="dxa"/>
            <w:tcBorders>
              <w:top w:val="single" w:sz="4" w:space="0" w:color="auto"/>
              <w:left w:val="single" w:sz="4" w:space="0" w:color="auto"/>
              <w:bottom w:val="single" w:sz="4" w:space="0" w:color="auto"/>
              <w:right w:val="single" w:sz="4" w:space="0" w:color="auto"/>
            </w:tcBorders>
            <w:vAlign w:val="center"/>
          </w:tcPr>
          <w:p w14:paraId="59782F9A" w14:textId="77777777" w:rsidR="00B53800" w:rsidRPr="001D52A0" w:rsidRDefault="00B53800" w:rsidP="00B53800">
            <w:pPr>
              <w:jc w:val="right"/>
              <w:rPr>
                <w:rFonts w:asciiTheme="minorHAnsi" w:hAnsiTheme="minorHAnsi" w:cs="Arial"/>
                <w:b/>
                <w:bCs/>
                <w:sz w:val="22"/>
                <w:szCs w:val="22"/>
                <w:lang w:eastAsia="en-GB"/>
              </w:rPr>
            </w:pPr>
            <w:r w:rsidRPr="001D52A0">
              <w:rPr>
                <w:rFonts w:asciiTheme="minorHAnsi" w:hAnsiTheme="minorHAnsi" w:cs="Arial"/>
                <w:b/>
                <w:bCs/>
                <w:sz w:val="22"/>
                <w:szCs w:val="22"/>
                <w:lang w:eastAsia="en-GB"/>
              </w:rPr>
              <w:t>2023/24</w:t>
            </w:r>
          </w:p>
          <w:p w14:paraId="75155D56" w14:textId="72C70CD8" w:rsidR="00B53800" w:rsidRPr="001D52A0" w:rsidRDefault="00B53800" w:rsidP="00B53800">
            <w:pPr>
              <w:jc w:val="right"/>
              <w:rPr>
                <w:rFonts w:asciiTheme="minorHAnsi" w:hAnsiTheme="minorHAnsi" w:cs="Arial"/>
                <w:b/>
                <w:bCs/>
                <w:sz w:val="22"/>
                <w:szCs w:val="22"/>
                <w:lang w:eastAsia="en-GB"/>
              </w:rPr>
            </w:pPr>
            <w:r w:rsidRPr="001D52A0">
              <w:rPr>
                <w:rFonts w:asciiTheme="minorHAnsi" w:hAnsiTheme="minorHAnsi" w:cs="Arial"/>
                <w:b/>
                <w:bCs/>
                <w:sz w:val="22"/>
                <w:szCs w:val="22"/>
                <w:lang w:eastAsia="en-GB"/>
              </w:rPr>
              <w:t>£000’s</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FC007" w14:textId="26836604" w:rsidR="00B53800" w:rsidRPr="001D52A0" w:rsidRDefault="00502F5A" w:rsidP="00B53800">
            <w:pPr>
              <w:jc w:val="right"/>
              <w:rPr>
                <w:rFonts w:asciiTheme="minorHAnsi" w:hAnsiTheme="minorHAnsi" w:cs="Arial"/>
                <w:b/>
                <w:bCs/>
                <w:sz w:val="22"/>
                <w:szCs w:val="22"/>
                <w:lang w:eastAsia="en-GB"/>
              </w:rPr>
            </w:pPr>
            <w:r w:rsidRPr="001D52A0">
              <w:rPr>
                <w:rFonts w:asciiTheme="minorHAnsi" w:hAnsiTheme="minorHAnsi" w:cs="Arial"/>
                <w:b/>
                <w:bCs/>
                <w:sz w:val="22"/>
                <w:szCs w:val="22"/>
                <w:lang w:eastAsia="en-GB"/>
              </w:rPr>
              <w:t>2024/25</w:t>
            </w:r>
          </w:p>
          <w:p w14:paraId="24E69C92" w14:textId="77777777" w:rsidR="00B53800" w:rsidRPr="001D52A0" w:rsidRDefault="00B53800" w:rsidP="00B53800">
            <w:pPr>
              <w:jc w:val="right"/>
              <w:rPr>
                <w:rFonts w:asciiTheme="minorHAnsi" w:hAnsiTheme="minorHAnsi" w:cs="Arial"/>
                <w:b/>
                <w:bCs/>
                <w:sz w:val="22"/>
                <w:szCs w:val="22"/>
                <w:lang w:eastAsia="en-GB"/>
              </w:rPr>
            </w:pPr>
            <w:r w:rsidRPr="001D52A0">
              <w:rPr>
                <w:rFonts w:asciiTheme="minorHAnsi" w:hAnsiTheme="minorHAnsi" w:cs="Arial"/>
                <w:b/>
                <w:bCs/>
                <w:sz w:val="22"/>
                <w:szCs w:val="22"/>
                <w:lang w:eastAsia="en-GB"/>
              </w:rPr>
              <w:t>£000’s</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14:paraId="3E114037" w14:textId="77777777" w:rsidR="00B53800" w:rsidRPr="001D52A0" w:rsidRDefault="00B53800" w:rsidP="00B53800">
            <w:pPr>
              <w:jc w:val="right"/>
              <w:rPr>
                <w:rFonts w:asciiTheme="minorHAnsi" w:hAnsiTheme="minorHAnsi" w:cs="Arial"/>
                <w:b/>
                <w:bCs/>
                <w:sz w:val="22"/>
                <w:szCs w:val="22"/>
                <w:lang w:eastAsia="en-GB"/>
              </w:rPr>
            </w:pPr>
            <w:r w:rsidRPr="001D52A0">
              <w:rPr>
                <w:rFonts w:asciiTheme="minorHAnsi" w:hAnsiTheme="minorHAnsi" w:cs="Arial"/>
                <w:b/>
                <w:bCs/>
                <w:sz w:val="22"/>
                <w:szCs w:val="22"/>
                <w:lang w:eastAsia="en-GB"/>
              </w:rPr>
              <w:t>Change</w:t>
            </w:r>
          </w:p>
          <w:p w14:paraId="36D95A25" w14:textId="77777777" w:rsidR="00B53800" w:rsidRPr="001D52A0" w:rsidRDefault="00B53800" w:rsidP="00B53800">
            <w:pPr>
              <w:jc w:val="right"/>
              <w:rPr>
                <w:rFonts w:asciiTheme="minorHAnsi" w:hAnsiTheme="minorHAnsi" w:cs="Arial"/>
                <w:b/>
                <w:bCs/>
                <w:sz w:val="22"/>
                <w:szCs w:val="22"/>
                <w:lang w:eastAsia="en-GB"/>
              </w:rPr>
            </w:pPr>
            <w:r w:rsidRPr="001D52A0">
              <w:rPr>
                <w:rFonts w:asciiTheme="minorHAnsi" w:hAnsiTheme="minorHAnsi" w:cs="Arial"/>
                <w:b/>
                <w:bCs/>
                <w:sz w:val="22"/>
                <w:szCs w:val="22"/>
                <w:lang w:eastAsia="en-GB"/>
              </w:rPr>
              <w:t>£000’s</w:t>
            </w:r>
          </w:p>
        </w:tc>
      </w:tr>
      <w:tr w:rsidR="00B53800" w:rsidRPr="001D52A0" w14:paraId="7E04808A" w14:textId="77777777" w:rsidTr="00B53800">
        <w:trPr>
          <w:trHeight w:val="405"/>
        </w:trPr>
        <w:tc>
          <w:tcPr>
            <w:tcW w:w="3074" w:type="dxa"/>
            <w:tcBorders>
              <w:top w:val="nil"/>
              <w:left w:val="single" w:sz="4" w:space="0" w:color="auto"/>
              <w:bottom w:val="single" w:sz="4" w:space="0" w:color="auto"/>
              <w:right w:val="single" w:sz="4" w:space="0" w:color="auto"/>
            </w:tcBorders>
            <w:shd w:val="clear" w:color="auto" w:fill="auto"/>
            <w:vAlign w:val="center"/>
            <w:hideMark/>
          </w:tcPr>
          <w:p w14:paraId="56855D5E" w14:textId="77777777" w:rsidR="00B53800" w:rsidRPr="001D52A0" w:rsidRDefault="00B53800" w:rsidP="00B53800">
            <w:pPr>
              <w:rPr>
                <w:rFonts w:asciiTheme="minorHAnsi" w:hAnsiTheme="minorHAnsi" w:cs="Arial"/>
                <w:sz w:val="22"/>
                <w:szCs w:val="22"/>
                <w:lang w:eastAsia="en-GB"/>
              </w:rPr>
            </w:pPr>
            <w:r w:rsidRPr="001D52A0">
              <w:rPr>
                <w:rFonts w:asciiTheme="minorHAnsi" w:hAnsiTheme="minorHAnsi" w:cs="Arial"/>
                <w:sz w:val="22"/>
                <w:szCs w:val="22"/>
                <w:lang w:eastAsia="en-GB"/>
              </w:rPr>
              <w:t>Waste Transport and Disposal</w:t>
            </w:r>
          </w:p>
        </w:tc>
        <w:tc>
          <w:tcPr>
            <w:tcW w:w="1657" w:type="dxa"/>
            <w:tcBorders>
              <w:top w:val="nil"/>
              <w:left w:val="single" w:sz="4" w:space="0" w:color="auto"/>
              <w:bottom w:val="single" w:sz="4" w:space="0" w:color="auto"/>
              <w:right w:val="single" w:sz="4" w:space="0" w:color="auto"/>
            </w:tcBorders>
            <w:vAlign w:val="center"/>
          </w:tcPr>
          <w:p w14:paraId="6164460F" w14:textId="5944BBDE" w:rsidR="00B53800" w:rsidRPr="001D52A0" w:rsidRDefault="00B53800" w:rsidP="00B53800">
            <w:pPr>
              <w:jc w:val="right"/>
              <w:rPr>
                <w:rFonts w:asciiTheme="minorHAnsi" w:hAnsiTheme="minorHAnsi" w:cs="Arial"/>
                <w:sz w:val="22"/>
                <w:szCs w:val="22"/>
                <w:lang w:eastAsia="en-GB"/>
              </w:rPr>
            </w:pPr>
            <w:r w:rsidRPr="001D52A0">
              <w:rPr>
                <w:rFonts w:asciiTheme="minorHAnsi" w:hAnsiTheme="minorHAnsi" w:cs="Arial"/>
                <w:sz w:val="22"/>
                <w:szCs w:val="22"/>
                <w:lang w:eastAsia="en-GB"/>
              </w:rPr>
              <w:t>7,545</w:t>
            </w:r>
          </w:p>
        </w:tc>
        <w:tc>
          <w:tcPr>
            <w:tcW w:w="1657" w:type="dxa"/>
            <w:tcBorders>
              <w:top w:val="nil"/>
              <w:left w:val="single" w:sz="4" w:space="0" w:color="auto"/>
              <w:bottom w:val="single" w:sz="4" w:space="0" w:color="auto"/>
              <w:right w:val="single" w:sz="4" w:space="0" w:color="auto"/>
            </w:tcBorders>
            <w:shd w:val="clear" w:color="auto" w:fill="auto"/>
            <w:vAlign w:val="center"/>
          </w:tcPr>
          <w:p w14:paraId="3AD49395" w14:textId="3E324A12" w:rsidR="00B53800" w:rsidRPr="001D52A0" w:rsidRDefault="00502F5A" w:rsidP="00B53800">
            <w:pPr>
              <w:jc w:val="right"/>
              <w:rPr>
                <w:rFonts w:asciiTheme="minorHAnsi" w:hAnsiTheme="minorHAnsi" w:cs="Arial"/>
                <w:sz w:val="22"/>
                <w:szCs w:val="22"/>
                <w:lang w:eastAsia="en-GB"/>
              </w:rPr>
            </w:pPr>
            <w:r w:rsidRPr="001D52A0">
              <w:rPr>
                <w:rFonts w:asciiTheme="minorHAnsi" w:hAnsiTheme="minorHAnsi" w:cs="Arial"/>
                <w:sz w:val="22"/>
                <w:szCs w:val="22"/>
                <w:lang w:eastAsia="en-GB"/>
              </w:rPr>
              <w:t>8,787</w:t>
            </w:r>
          </w:p>
        </w:tc>
        <w:tc>
          <w:tcPr>
            <w:tcW w:w="1657" w:type="dxa"/>
            <w:tcBorders>
              <w:top w:val="nil"/>
              <w:left w:val="nil"/>
              <w:bottom w:val="single" w:sz="4" w:space="0" w:color="auto"/>
              <w:right w:val="single" w:sz="4" w:space="0" w:color="auto"/>
            </w:tcBorders>
            <w:shd w:val="clear" w:color="auto" w:fill="auto"/>
            <w:vAlign w:val="center"/>
          </w:tcPr>
          <w:p w14:paraId="082E9486" w14:textId="0485268E" w:rsidR="00B53800" w:rsidRPr="001D52A0" w:rsidRDefault="00502F5A" w:rsidP="00B53800">
            <w:pPr>
              <w:jc w:val="right"/>
              <w:rPr>
                <w:rFonts w:asciiTheme="minorHAnsi" w:hAnsiTheme="minorHAnsi" w:cs="Arial"/>
                <w:sz w:val="22"/>
                <w:szCs w:val="22"/>
                <w:lang w:eastAsia="en-GB"/>
              </w:rPr>
            </w:pPr>
            <w:r w:rsidRPr="001D52A0">
              <w:rPr>
                <w:rFonts w:asciiTheme="minorHAnsi" w:hAnsiTheme="minorHAnsi" w:cs="Arial"/>
                <w:sz w:val="22"/>
                <w:szCs w:val="22"/>
                <w:lang w:eastAsia="en-GB"/>
              </w:rPr>
              <w:t>1,242</w:t>
            </w:r>
          </w:p>
        </w:tc>
      </w:tr>
      <w:tr w:rsidR="00B53800" w:rsidRPr="001D52A0" w14:paraId="7710E3BD" w14:textId="77777777" w:rsidTr="00B53800">
        <w:trPr>
          <w:trHeight w:val="405"/>
        </w:trPr>
        <w:tc>
          <w:tcPr>
            <w:tcW w:w="3074" w:type="dxa"/>
            <w:tcBorders>
              <w:top w:val="nil"/>
              <w:left w:val="single" w:sz="4" w:space="0" w:color="auto"/>
              <w:bottom w:val="single" w:sz="4" w:space="0" w:color="auto"/>
              <w:right w:val="single" w:sz="4" w:space="0" w:color="auto"/>
            </w:tcBorders>
            <w:shd w:val="clear" w:color="auto" w:fill="auto"/>
            <w:vAlign w:val="center"/>
            <w:hideMark/>
          </w:tcPr>
          <w:p w14:paraId="0DC42041" w14:textId="77777777" w:rsidR="00B53800" w:rsidRPr="001D52A0" w:rsidRDefault="00B53800" w:rsidP="00B53800">
            <w:pPr>
              <w:rPr>
                <w:rFonts w:asciiTheme="minorHAnsi" w:hAnsiTheme="minorHAnsi" w:cs="Arial"/>
                <w:sz w:val="22"/>
                <w:szCs w:val="22"/>
                <w:lang w:eastAsia="en-GB"/>
              </w:rPr>
            </w:pPr>
            <w:r w:rsidRPr="001D52A0">
              <w:rPr>
                <w:rFonts w:asciiTheme="minorHAnsi" w:hAnsiTheme="minorHAnsi" w:cs="Arial"/>
                <w:sz w:val="22"/>
                <w:szCs w:val="22"/>
                <w:lang w:eastAsia="en-GB"/>
              </w:rPr>
              <w:t>Employees</w:t>
            </w:r>
          </w:p>
        </w:tc>
        <w:tc>
          <w:tcPr>
            <w:tcW w:w="1657" w:type="dxa"/>
            <w:tcBorders>
              <w:top w:val="nil"/>
              <w:left w:val="single" w:sz="4" w:space="0" w:color="auto"/>
              <w:bottom w:val="single" w:sz="4" w:space="0" w:color="auto"/>
              <w:right w:val="single" w:sz="4" w:space="0" w:color="auto"/>
            </w:tcBorders>
            <w:vAlign w:val="center"/>
          </w:tcPr>
          <w:p w14:paraId="69567529" w14:textId="3CE8282A" w:rsidR="00B53800" w:rsidRPr="001D52A0" w:rsidRDefault="00B53800" w:rsidP="00B53800">
            <w:pPr>
              <w:jc w:val="right"/>
              <w:rPr>
                <w:rFonts w:asciiTheme="minorHAnsi" w:hAnsiTheme="minorHAnsi" w:cs="Arial"/>
                <w:sz w:val="22"/>
                <w:szCs w:val="22"/>
                <w:lang w:eastAsia="en-GB"/>
              </w:rPr>
            </w:pPr>
            <w:r w:rsidRPr="001D52A0">
              <w:rPr>
                <w:rFonts w:asciiTheme="minorHAnsi" w:hAnsiTheme="minorHAnsi" w:cs="Arial"/>
                <w:sz w:val="22"/>
                <w:szCs w:val="22"/>
                <w:lang w:eastAsia="en-GB"/>
              </w:rPr>
              <w:t>2,925</w:t>
            </w:r>
          </w:p>
        </w:tc>
        <w:tc>
          <w:tcPr>
            <w:tcW w:w="1657" w:type="dxa"/>
            <w:tcBorders>
              <w:top w:val="nil"/>
              <w:left w:val="single" w:sz="4" w:space="0" w:color="auto"/>
              <w:bottom w:val="single" w:sz="4" w:space="0" w:color="auto"/>
              <w:right w:val="single" w:sz="4" w:space="0" w:color="auto"/>
            </w:tcBorders>
            <w:shd w:val="clear" w:color="auto" w:fill="auto"/>
            <w:vAlign w:val="center"/>
          </w:tcPr>
          <w:p w14:paraId="3F8988D3" w14:textId="04E0EFCA" w:rsidR="00B53800" w:rsidRPr="001D52A0" w:rsidRDefault="00502F5A" w:rsidP="00B53800">
            <w:pPr>
              <w:jc w:val="right"/>
              <w:rPr>
                <w:rFonts w:asciiTheme="minorHAnsi" w:hAnsiTheme="minorHAnsi" w:cs="Arial"/>
                <w:sz w:val="22"/>
                <w:szCs w:val="22"/>
                <w:lang w:eastAsia="en-GB"/>
              </w:rPr>
            </w:pPr>
            <w:r w:rsidRPr="001D52A0">
              <w:rPr>
                <w:rFonts w:asciiTheme="minorHAnsi" w:hAnsiTheme="minorHAnsi" w:cs="Arial"/>
                <w:sz w:val="22"/>
                <w:szCs w:val="22"/>
                <w:lang w:eastAsia="en-GB"/>
              </w:rPr>
              <w:t>3,228</w:t>
            </w:r>
          </w:p>
        </w:tc>
        <w:tc>
          <w:tcPr>
            <w:tcW w:w="1657" w:type="dxa"/>
            <w:tcBorders>
              <w:top w:val="nil"/>
              <w:left w:val="nil"/>
              <w:bottom w:val="single" w:sz="4" w:space="0" w:color="auto"/>
              <w:right w:val="single" w:sz="4" w:space="0" w:color="auto"/>
            </w:tcBorders>
            <w:shd w:val="clear" w:color="auto" w:fill="auto"/>
            <w:vAlign w:val="center"/>
          </w:tcPr>
          <w:p w14:paraId="1A52D70E" w14:textId="553B4176" w:rsidR="00B53800" w:rsidRPr="001D52A0" w:rsidRDefault="00502F5A" w:rsidP="00B53800">
            <w:pPr>
              <w:jc w:val="right"/>
              <w:rPr>
                <w:rFonts w:asciiTheme="minorHAnsi" w:hAnsiTheme="minorHAnsi" w:cs="Arial"/>
                <w:sz w:val="22"/>
                <w:szCs w:val="22"/>
                <w:lang w:eastAsia="en-GB"/>
              </w:rPr>
            </w:pPr>
            <w:r w:rsidRPr="001D52A0">
              <w:rPr>
                <w:rFonts w:asciiTheme="minorHAnsi" w:hAnsiTheme="minorHAnsi" w:cs="Arial"/>
                <w:sz w:val="22"/>
                <w:szCs w:val="22"/>
                <w:lang w:eastAsia="en-GB"/>
              </w:rPr>
              <w:t>611</w:t>
            </w:r>
          </w:p>
        </w:tc>
      </w:tr>
      <w:tr w:rsidR="00B53800" w:rsidRPr="001D52A0" w14:paraId="0CDD114B" w14:textId="77777777" w:rsidTr="00B53800">
        <w:trPr>
          <w:trHeight w:val="405"/>
        </w:trPr>
        <w:tc>
          <w:tcPr>
            <w:tcW w:w="3074" w:type="dxa"/>
            <w:tcBorders>
              <w:top w:val="nil"/>
              <w:left w:val="single" w:sz="4" w:space="0" w:color="auto"/>
              <w:bottom w:val="single" w:sz="4" w:space="0" w:color="auto"/>
              <w:right w:val="single" w:sz="4" w:space="0" w:color="auto"/>
            </w:tcBorders>
            <w:shd w:val="clear" w:color="auto" w:fill="auto"/>
            <w:vAlign w:val="center"/>
            <w:hideMark/>
          </w:tcPr>
          <w:p w14:paraId="5DFDB794" w14:textId="77777777" w:rsidR="00B53800" w:rsidRPr="001D52A0" w:rsidRDefault="00B53800" w:rsidP="00B53800">
            <w:pPr>
              <w:rPr>
                <w:rFonts w:asciiTheme="minorHAnsi" w:hAnsiTheme="minorHAnsi" w:cs="Arial"/>
                <w:sz w:val="22"/>
                <w:szCs w:val="22"/>
                <w:lang w:eastAsia="en-GB"/>
              </w:rPr>
            </w:pPr>
            <w:r w:rsidRPr="001D52A0">
              <w:rPr>
                <w:rFonts w:asciiTheme="minorHAnsi" w:hAnsiTheme="minorHAnsi" w:cs="Arial"/>
                <w:sz w:val="22"/>
                <w:szCs w:val="22"/>
                <w:lang w:eastAsia="en-GB"/>
              </w:rPr>
              <w:t>Premises</w:t>
            </w:r>
          </w:p>
        </w:tc>
        <w:tc>
          <w:tcPr>
            <w:tcW w:w="1657" w:type="dxa"/>
            <w:tcBorders>
              <w:top w:val="nil"/>
              <w:left w:val="single" w:sz="4" w:space="0" w:color="auto"/>
              <w:bottom w:val="single" w:sz="4" w:space="0" w:color="auto"/>
              <w:right w:val="single" w:sz="4" w:space="0" w:color="auto"/>
            </w:tcBorders>
            <w:vAlign w:val="center"/>
          </w:tcPr>
          <w:p w14:paraId="1B4D4FB3" w14:textId="3159980B" w:rsidR="00B53800" w:rsidRPr="001D52A0" w:rsidRDefault="00B53800" w:rsidP="00B53800">
            <w:pPr>
              <w:jc w:val="right"/>
              <w:rPr>
                <w:rFonts w:asciiTheme="minorHAnsi" w:hAnsiTheme="minorHAnsi" w:cs="Arial"/>
                <w:sz w:val="22"/>
                <w:szCs w:val="22"/>
                <w:lang w:eastAsia="en-GB"/>
              </w:rPr>
            </w:pPr>
            <w:r w:rsidRPr="001D52A0">
              <w:rPr>
                <w:rFonts w:asciiTheme="minorHAnsi" w:hAnsiTheme="minorHAnsi" w:cs="Arial"/>
                <w:sz w:val="22"/>
                <w:szCs w:val="22"/>
                <w:lang w:eastAsia="en-GB"/>
              </w:rPr>
              <w:t>1,438</w:t>
            </w:r>
          </w:p>
        </w:tc>
        <w:tc>
          <w:tcPr>
            <w:tcW w:w="1657" w:type="dxa"/>
            <w:tcBorders>
              <w:top w:val="nil"/>
              <w:left w:val="single" w:sz="4" w:space="0" w:color="auto"/>
              <w:bottom w:val="single" w:sz="4" w:space="0" w:color="auto"/>
              <w:right w:val="single" w:sz="4" w:space="0" w:color="auto"/>
            </w:tcBorders>
            <w:shd w:val="clear" w:color="auto" w:fill="auto"/>
            <w:vAlign w:val="center"/>
          </w:tcPr>
          <w:p w14:paraId="51E926F1" w14:textId="71277A57" w:rsidR="00B53800" w:rsidRPr="001D52A0" w:rsidRDefault="00502F5A" w:rsidP="001C77E4">
            <w:pPr>
              <w:jc w:val="right"/>
              <w:rPr>
                <w:rFonts w:asciiTheme="minorHAnsi" w:hAnsiTheme="minorHAnsi" w:cs="Arial"/>
                <w:sz w:val="22"/>
                <w:szCs w:val="22"/>
                <w:lang w:eastAsia="en-GB"/>
              </w:rPr>
            </w:pPr>
            <w:r w:rsidRPr="001D52A0">
              <w:rPr>
                <w:rFonts w:asciiTheme="minorHAnsi" w:hAnsiTheme="minorHAnsi" w:cs="Arial"/>
                <w:sz w:val="22"/>
                <w:szCs w:val="22"/>
                <w:lang w:eastAsia="en-GB"/>
              </w:rPr>
              <w:t>1,8</w:t>
            </w:r>
            <w:r w:rsidR="001C77E4" w:rsidRPr="001D52A0">
              <w:rPr>
                <w:rFonts w:asciiTheme="minorHAnsi" w:hAnsiTheme="minorHAnsi" w:cs="Arial"/>
                <w:sz w:val="22"/>
                <w:szCs w:val="22"/>
                <w:lang w:eastAsia="en-GB"/>
              </w:rPr>
              <w:t>92</w:t>
            </w:r>
          </w:p>
        </w:tc>
        <w:tc>
          <w:tcPr>
            <w:tcW w:w="1657" w:type="dxa"/>
            <w:tcBorders>
              <w:top w:val="nil"/>
              <w:left w:val="nil"/>
              <w:bottom w:val="single" w:sz="4" w:space="0" w:color="auto"/>
              <w:right w:val="single" w:sz="4" w:space="0" w:color="auto"/>
            </w:tcBorders>
            <w:shd w:val="clear" w:color="auto" w:fill="auto"/>
            <w:vAlign w:val="center"/>
          </w:tcPr>
          <w:p w14:paraId="7887CD54" w14:textId="0BE15B89" w:rsidR="00B53800" w:rsidRPr="001D52A0" w:rsidRDefault="00502F5A" w:rsidP="00B53800">
            <w:pPr>
              <w:jc w:val="right"/>
              <w:rPr>
                <w:rFonts w:asciiTheme="minorHAnsi" w:hAnsiTheme="minorHAnsi" w:cs="Arial"/>
                <w:sz w:val="22"/>
                <w:szCs w:val="22"/>
                <w:lang w:eastAsia="en-GB"/>
              </w:rPr>
            </w:pPr>
            <w:r w:rsidRPr="001D52A0">
              <w:rPr>
                <w:rFonts w:asciiTheme="minorHAnsi" w:hAnsiTheme="minorHAnsi" w:cs="Arial"/>
                <w:sz w:val="22"/>
                <w:szCs w:val="22"/>
                <w:lang w:eastAsia="en-GB"/>
              </w:rPr>
              <w:t>487</w:t>
            </w:r>
          </w:p>
        </w:tc>
      </w:tr>
      <w:tr w:rsidR="00B53800" w:rsidRPr="001D52A0" w14:paraId="75023662" w14:textId="77777777" w:rsidTr="00B53800">
        <w:trPr>
          <w:trHeight w:val="405"/>
        </w:trPr>
        <w:tc>
          <w:tcPr>
            <w:tcW w:w="3074" w:type="dxa"/>
            <w:tcBorders>
              <w:top w:val="nil"/>
              <w:left w:val="single" w:sz="4" w:space="0" w:color="auto"/>
              <w:bottom w:val="single" w:sz="4" w:space="0" w:color="auto"/>
              <w:right w:val="single" w:sz="4" w:space="0" w:color="auto"/>
            </w:tcBorders>
            <w:shd w:val="clear" w:color="auto" w:fill="auto"/>
            <w:vAlign w:val="center"/>
            <w:hideMark/>
          </w:tcPr>
          <w:p w14:paraId="17ED34CD" w14:textId="77777777" w:rsidR="00B53800" w:rsidRPr="001D52A0" w:rsidRDefault="00B53800" w:rsidP="00B53800">
            <w:pPr>
              <w:rPr>
                <w:rFonts w:asciiTheme="minorHAnsi" w:hAnsiTheme="minorHAnsi" w:cs="Arial"/>
                <w:sz w:val="22"/>
                <w:szCs w:val="22"/>
                <w:lang w:eastAsia="en-GB"/>
              </w:rPr>
            </w:pPr>
            <w:r w:rsidRPr="001D52A0">
              <w:rPr>
                <w:rFonts w:asciiTheme="minorHAnsi" w:hAnsiTheme="minorHAnsi" w:cs="Arial"/>
                <w:sz w:val="22"/>
                <w:szCs w:val="22"/>
                <w:lang w:eastAsia="en-GB"/>
              </w:rPr>
              <w:t>Supplies and Services</w:t>
            </w:r>
          </w:p>
        </w:tc>
        <w:tc>
          <w:tcPr>
            <w:tcW w:w="1657" w:type="dxa"/>
            <w:tcBorders>
              <w:top w:val="nil"/>
              <w:left w:val="single" w:sz="4" w:space="0" w:color="auto"/>
              <w:bottom w:val="single" w:sz="4" w:space="0" w:color="auto"/>
              <w:right w:val="single" w:sz="4" w:space="0" w:color="auto"/>
            </w:tcBorders>
            <w:vAlign w:val="center"/>
          </w:tcPr>
          <w:p w14:paraId="4ABEF787" w14:textId="552AAE18" w:rsidR="00B53800" w:rsidRPr="001D52A0" w:rsidRDefault="00B53800" w:rsidP="00B53800">
            <w:pPr>
              <w:jc w:val="right"/>
              <w:rPr>
                <w:rFonts w:asciiTheme="minorHAnsi" w:hAnsiTheme="minorHAnsi" w:cs="Arial"/>
                <w:sz w:val="22"/>
                <w:szCs w:val="22"/>
                <w:lang w:eastAsia="en-GB"/>
              </w:rPr>
            </w:pPr>
            <w:r w:rsidRPr="001D52A0">
              <w:rPr>
                <w:rFonts w:asciiTheme="minorHAnsi" w:hAnsiTheme="minorHAnsi" w:cs="Arial"/>
                <w:sz w:val="22"/>
                <w:szCs w:val="22"/>
                <w:lang w:eastAsia="en-GB"/>
              </w:rPr>
              <w:t>1,847</w:t>
            </w:r>
          </w:p>
        </w:tc>
        <w:tc>
          <w:tcPr>
            <w:tcW w:w="1657" w:type="dxa"/>
            <w:tcBorders>
              <w:top w:val="nil"/>
              <w:left w:val="single" w:sz="4" w:space="0" w:color="auto"/>
              <w:bottom w:val="single" w:sz="4" w:space="0" w:color="auto"/>
              <w:right w:val="single" w:sz="4" w:space="0" w:color="auto"/>
            </w:tcBorders>
            <w:shd w:val="clear" w:color="auto" w:fill="auto"/>
            <w:vAlign w:val="center"/>
          </w:tcPr>
          <w:p w14:paraId="24B0DE74" w14:textId="5C94B4C9" w:rsidR="00B53800" w:rsidRPr="001D52A0" w:rsidRDefault="00502F5A" w:rsidP="001C77E4">
            <w:pPr>
              <w:jc w:val="right"/>
              <w:rPr>
                <w:rFonts w:asciiTheme="minorHAnsi" w:hAnsiTheme="minorHAnsi" w:cs="Arial"/>
                <w:sz w:val="22"/>
                <w:szCs w:val="22"/>
                <w:lang w:eastAsia="en-GB"/>
              </w:rPr>
            </w:pPr>
            <w:r w:rsidRPr="001D52A0">
              <w:rPr>
                <w:rFonts w:asciiTheme="minorHAnsi" w:hAnsiTheme="minorHAnsi" w:cs="Arial"/>
                <w:sz w:val="22"/>
                <w:szCs w:val="22"/>
                <w:lang w:eastAsia="en-GB"/>
              </w:rPr>
              <w:t>2,2</w:t>
            </w:r>
            <w:r w:rsidR="001C77E4" w:rsidRPr="001D52A0">
              <w:rPr>
                <w:rFonts w:asciiTheme="minorHAnsi" w:hAnsiTheme="minorHAnsi" w:cs="Arial"/>
                <w:sz w:val="22"/>
                <w:szCs w:val="22"/>
                <w:lang w:eastAsia="en-GB"/>
              </w:rPr>
              <w:t>13</w:t>
            </w:r>
          </w:p>
        </w:tc>
        <w:tc>
          <w:tcPr>
            <w:tcW w:w="1657" w:type="dxa"/>
            <w:tcBorders>
              <w:top w:val="nil"/>
              <w:left w:val="nil"/>
              <w:bottom w:val="single" w:sz="4" w:space="0" w:color="auto"/>
              <w:right w:val="single" w:sz="4" w:space="0" w:color="auto"/>
            </w:tcBorders>
            <w:shd w:val="clear" w:color="auto" w:fill="auto"/>
            <w:vAlign w:val="center"/>
          </w:tcPr>
          <w:p w14:paraId="3052D6AB" w14:textId="6B0EF96C" w:rsidR="00B53800" w:rsidRPr="001D52A0" w:rsidRDefault="00502F5A" w:rsidP="00B53800">
            <w:pPr>
              <w:jc w:val="right"/>
              <w:rPr>
                <w:rFonts w:asciiTheme="minorHAnsi" w:hAnsiTheme="minorHAnsi" w:cs="Arial"/>
                <w:sz w:val="22"/>
                <w:szCs w:val="22"/>
                <w:lang w:eastAsia="en-GB"/>
              </w:rPr>
            </w:pPr>
            <w:r w:rsidRPr="001D52A0">
              <w:rPr>
                <w:rFonts w:asciiTheme="minorHAnsi" w:hAnsiTheme="minorHAnsi" w:cs="Arial"/>
                <w:sz w:val="22"/>
                <w:szCs w:val="22"/>
                <w:lang w:eastAsia="en-GB"/>
              </w:rPr>
              <w:t>1</w:t>
            </w:r>
            <w:r w:rsidR="00817CFD" w:rsidRPr="001D52A0">
              <w:rPr>
                <w:rFonts w:asciiTheme="minorHAnsi" w:hAnsiTheme="minorHAnsi" w:cs="Arial"/>
                <w:sz w:val="22"/>
                <w:szCs w:val="22"/>
                <w:lang w:eastAsia="en-GB"/>
              </w:rPr>
              <w:t>,05</w:t>
            </w:r>
            <w:r w:rsidRPr="001D52A0">
              <w:rPr>
                <w:rFonts w:asciiTheme="minorHAnsi" w:hAnsiTheme="minorHAnsi" w:cs="Arial"/>
                <w:sz w:val="22"/>
                <w:szCs w:val="22"/>
                <w:lang w:eastAsia="en-GB"/>
              </w:rPr>
              <w:t>9</w:t>
            </w:r>
          </w:p>
        </w:tc>
      </w:tr>
      <w:tr w:rsidR="00B53800" w:rsidRPr="001D52A0" w14:paraId="51E5A8CE" w14:textId="77777777" w:rsidTr="00B53800">
        <w:trPr>
          <w:trHeight w:val="405"/>
        </w:trPr>
        <w:tc>
          <w:tcPr>
            <w:tcW w:w="3074" w:type="dxa"/>
            <w:tcBorders>
              <w:top w:val="nil"/>
              <w:left w:val="single" w:sz="4" w:space="0" w:color="auto"/>
              <w:bottom w:val="single" w:sz="4" w:space="0" w:color="auto"/>
              <w:right w:val="single" w:sz="4" w:space="0" w:color="auto"/>
            </w:tcBorders>
            <w:shd w:val="clear" w:color="auto" w:fill="auto"/>
            <w:vAlign w:val="center"/>
            <w:hideMark/>
          </w:tcPr>
          <w:p w14:paraId="70ED4CC1" w14:textId="77777777" w:rsidR="00B53800" w:rsidRPr="001D52A0" w:rsidRDefault="00B53800" w:rsidP="00B53800">
            <w:pPr>
              <w:rPr>
                <w:rFonts w:asciiTheme="minorHAnsi" w:hAnsiTheme="minorHAnsi" w:cs="Arial"/>
                <w:sz w:val="22"/>
                <w:szCs w:val="22"/>
                <w:lang w:eastAsia="en-GB"/>
              </w:rPr>
            </w:pPr>
            <w:r w:rsidRPr="001D52A0">
              <w:rPr>
                <w:rFonts w:asciiTheme="minorHAnsi" w:hAnsiTheme="minorHAnsi" w:cs="Arial"/>
                <w:sz w:val="22"/>
                <w:szCs w:val="22"/>
                <w:lang w:eastAsia="en-GB"/>
              </w:rPr>
              <w:t>Depreciation</w:t>
            </w:r>
          </w:p>
        </w:tc>
        <w:tc>
          <w:tcPr>
            <w:tcW w:w="1657" w:type="dxa"/>
            <w:tcBorders>
              <w:top w:val="nil"/>
              <w:left w:val="single" w:sz="4" w:space="0" w:color="auto"/>
              <w:bottom w:val="single" w:sz="4" w:space="0" w:color="auto"/>
              <w:right w:val="single" w:sz="4" w:space="0" w:color="auto"/>
            </w:tcBorders>
            <w:vAlign w:val="center"/>
          </w:tcPr>
          <w:p w14:paraId="5281B946" w14:textId="6165AF3A" w:rsidR="00B53800" w:rsidRPr="001D52A0" w:rsidRDefault="00B53800" w:rsidP="00B53800">
            <w:pPr>
              <w:jc w:val="right"/>
              <w:rPr>
                <w:rFonts w:asciiTheme="minorHAnsi" w:hAnsiTheme="minorHAnsi" w:cs="Arial"/>
                <w:sz w:val="22"/>
                <w:szCs w:val="22"/>
                <w:lang w:eastAsia="en-GB"/>
              </w:rPr>
            </w:pPr>
            <w:r w:rsidRPr="001D52A0">
              <w:rPr>
                <w:rFonts w:asciiTheme="minorHAnsi" w:hAnsiTheme="minorHAnsi" w:cs="Arial"/>
                <w:sz w:val="22"/>
                <w:szCs w:val="22"/>
                <w:lang w:eastAsia="en-GB"/>
              </w:rPr>
              <w:t>2,548</w:t>
            </w:r>
          </w:p>
        </w:tc>
        <w:tc>
          <w:tcPr>
            <w:tcW w:w="1657" w:type="dxa"/>
            <w:tcBorders>
              <w:top w:val="nil"/>
              <w:left w:val="single" w:sz="4" w:space="0" w:color="auto"/>
              <w:bottom w:val="single" w:sz="4" w:space="0" w:color="auto"/>
              <w:right w:val="single" w:sz="4" w:space="0" w:color="auto"/>
            </w:tcBorders>
            <w:shd w:val="clear" w:color="auto" w:fill="auto"/>
            <w:vAlign w:val="center"/>
          </w:tcPr>
          <w:p w14:paraId="3D72CF18" w14:textId="71F84D41" w:rsidR="00B53800" w:rsidRPr="001D52A0" w:rsidRDefault="00502F5A" w:rsidP="00B53800">
            <w:pPr>
              <w:jc w:val="right"/>
              <w:rPr>
                <w:rFonts w:asciiTheme="minorHAnsi" w:hAnsiTheme="minorHAnsi" w:cs="Arial"/>
                <w:sz w:val="22"/>
                <w:szCs w:val="22"/>
                <w:lang w:eastAsia="en-GB"/>
              </w:rPr>
            </w:pPr>
            <w:r w:rsidRPr="001D52A0">
              <w:rPr>
                <w:rFonts w:asciiTheme="minorHAnsi" w:hAnsiTheme="minorHAnsi" w:cs="Arial"/>
                <w:sz w:val="22"/>
                <w:szCs w:val="22"/>
                <w:lang w:eastAsia="en-GB"/>
              </w:rPr>
              <w:t>2,565</w:t>
            </w:r>
          </w:p>
        </w:tc>
        <w:tc>
          <w:tcPr>
            <w:tcW w:w="1657" w:type="dxa"/>
            <w:tcBorders>
              <w:top w:val="nil"/>
              <w:left w:val="nil"/>
              <w:bottom w:val="single" w:sz="4" w:space="0" w:color="auto"/>
              <w:right w:val="single" w:sz="4" w:space="0" w:color="auto"/>
            </w:tcBorders>
            <w:shd w:val="clear" w:color="auto" w:fill="auto"/>
            <w:vAlign w:val="center"/>
          </w:tcPr>
          <w:p w14:paraId="787F978B" w14:textId="1718F4F5" w:rsidR="00B53800" w:rsidRPr="001D52A0" w:rsidRDefault="00502F5A" w:rsidP="00B53800">
            <w:pPr>
              <w:jc w:val="right"/>
              <w:rPr>
                <w:rFonts w:asciiTheme="minorHAnsi" w:hAnsiTheme="minorHAnsi" w:cs="Arial"/>
                <w:sz w:val="22"/>
                <w:szCs w:val="22"/>
                <w:lang w:eastAsia="en-GB"/>
              </w:rPr>
            </w:pPr>
            <w:r w:rsidRPr="001D52A0">
              <w:rPr>
                <w:rFonts w:asciiTheme="minorHAnsi" w:hAnsiTheme="minorHAnsi" w:cs="Arial"/>
                <w:sz w:val="22"/>
                <w:szCs w:val="22"/>
                <w:lang w:eastAsia="en-GB"/>
              </w:rPr>
              <w:t>125</w:t>
            </w:r>
          </w:p>
        </w:tc>
      </w:tr>
      <w:tr w:rsidR="00B53800" w:rsidRPr="001D52A0" w14:paraId="191EB17B" w14:textId="77777777" w:rsidTr="00B53800">
        <w:trPr>
          <w:trHeight w:val="405"/>
        </w:trPr>
        <w:tc>
          <w:tcPr>
            <w:tcW w:w="3074" w:type="dxa"/>
            <w:tcBorders>
              <w:top w:val="nil"/>
              <w:left w:val="single" w:sz="4" w:space="0" w:color="auto"/>
              <w:bottom w:val="single" w:sz="4" w:space="0" w:color="auto"/>
              <w:right w:val="single" w:sz="4" w:space="0" w:color="auto"/>
            </w:tcBorders>
            <w:shd w:val="clear" w:color="auto" w:fill="auto"/>
            <w:vAlign w:val="center"/>
            <w:hideMark/>
          </w:tcPr>
          <w:p w14:paraId="7289C3AB" w14:textId="77777777" w:rsidR="00B53800" w:rsidRPr="001D52A0" w:rsidRDefault="00B53800" w:rsidP="00B53800">
            <w:pPr>
              <w:rPr>
                <w:rFonts w:asciiTheme="minorHAnsi" w:hAnsiTheme="minorHAnsi" w:cs="Arial"/>
                <w:sz w:val="22"/>
                <w:szCs w:val="22"/>
                <w:lang w:eastAsia="en-GB"/>
              </w:rPr>
            </w:pPr>
            <w:r w:rsidRPr="001D52A0">
              <w:rPr>
                <w:rFonts w:asciiTheme="minorHAnsi" w:hAnsiTheme="minorHAnsi" w:cs="Arial"/>
                <w:sz w:val="22"/>
                <w:szCs w:val="22"/>
                <w:lang w:eastAsia="en-GB"/>
              </w:rPr>
              <w:t>Financing</w:t>
            </w:r>
          </w:p>
        </w:tc>
        <w:tc>
          <w:tcPr>
            <w:tcW w:w="1657" w:type="dxa"/>
            <w:tcBorders>
              <w:top w:val="nil"/>
              <w:left w:val="single" w:sz="4" w:space="0" w:color="auto"/>
              <w:bottom w:val="single" w:sz="4" w:space="0" w:color="auto"/>
              <w:right w:val="single" w:sz="4" w:space="0" w:color="auto"/>
            </w:tcBorders>
            <w:vAlign w:val="center"/>
          </w:tcPr>
          <w:p w14:paraId="01D357BD" w14:textId="15001C1D" w:rsidR="00B53800" w:rsidRPr="001D52A0" w:rsidRDefault="00B53800" w:rsidP="00B53800">
            <w:pPr>
              <w:jc w:val="right"/>
              <w:rPr>
                <w:rFonts w:asciiTheme="minorHAnsi" w:hAnsiTheme="minorHAnsi" w:cs="Arial"/>
                <w:sz w:val="22"/>
                <w:szCs w:val="22"/>
                <w:lang w:eastAsia="en-GB"/>
              </w:rPr>
            </w:pPr>
            <w:r w:rsidRPr="001D52A0">
              <w:rPr>
                <w:rFonts w:asciiTheme="minorHAnsi" w:hAnsiTheme="minorHAnsi" w:cs="Arial"/>
                <w:sz w:val="22"/>
                <w:szCs w:val="22"/>
                <w:lang w:eastAsia="en-GB"/>
              </w:rPr>
              <w:t>901</w:t>
            </w:r>
          </w:p>
        </w:tc>
        <w:tc>
          <w:tcPr>
            <w:tcW w:w="1657" w:type="dxa"/>
            <w:tcBorders>
              <w:top w:val="nil"/>
              <w:left w:val="single" w:sz="4" w:space="0" w:color="auto"/>
              <w:bottom w:val="single" w:sz="4" w:space="0" w:color="auto"/>
              <w:right w:val="single" w:sz="4" w:space="0" w:color="auto"/>
            </w:tcBorders>
            <w:shd w:val="clear" w:color="auto" w:fill="auto"/>
            <w:vAlign w:val="center"/>
          </w:tcPr>
          <w:p w14:paraId="5450197B" w14:textId="0EEC72C9" w:rsidR="00B53800" w:rsidRPr="001D52A0" w:rsidRDefault="00502F5A" w:rsidP="00B53800">
            <w:pPr>
              <w:jc w:val="right"/>
              <w:rPr>
                <w:rFonts w:asciiTheme="minorHAnsi" w:hAnsiTheme="minorHAnsi" w:cs="Arial"/>
                <w:sz w:val="22"/>
                <w:szCs w:val="22"/>
                <w:lang w:eastAsia="en-GB"/>
              </w:rPr>
            </w:pPr>
            <w:r w:rsidRPr="001D52A0">
              <w:rPr>
                <w:rFonts w:asciiTheme="minorHAnsi" w:hAnsiTheme="minorHAnsi" w:cs="Arial"/>
                <w:sz w:val="22"/>
                <w:szCs w:val="22"/>
                <w:lang w:eastAsia="en-GB"/>
              </w:rPr>
              <w:t>853</w:t>
            </w:r>
          </w:p>
        </w:tc>
        <w:tc>
          <w:tcPr>
            <w:tcW w:w="1657" w:type="dxa"/>
            <w:tcBorders>
              <w:top w:val="nil"/>
              <w:left w:val="nil"/>
              <w:bottom w:val="single" w:sz="4" w:space="0" w:color="auto"/>
              <w:right w:val="single" w:sz="4" w:space="0" w:color="auto"/>
            </w:tcBorders>
            <w:shd w:val="clear" w:color="auto" w:fill="auto"/>
            <w:vAlign w:val="center"/>
          </w:tcPr>
          <w:p w14:paraId="1FEE6ED5" w14:textId="237EE761" w:rsidR="00B53800" w:rsidRPr="001D52A0" w:rsidRDefault="00502F5A" w:rsidP="00B53800">
            <w:pPr>
              <w:jc w:val="right"/>
              <w:rPr>
                <w:rFonts w:asciiTheme="minorHAnsi" w:hAnsiTheme="minorHAnsi" w:cs="Arial"/>
                <w:sz w:val="22"/>
                <w:szCs w:val="22"/>
                <w:lang w:eastAsia="en-GB"/>
              </w:rPr>
            </w:pPr>
            <w:r w:rsidRPr="001D52A0">
              <w:rPr>
                <w:rFonts w:asciiTheme="minorHAnsi" w:hAnsiTheme="minorHAnsi" w:cs="Arial"/>
                <w:sz w:val="22"/>
                <w:szCs w:val="22"/>
                <w:lang w:eastAsia="en-GB"/>
              </w:rPr>
              <w:t>(49)</w:t>
            </w:r>
          </w:p>
        </w:tc>
      </w:tr>
      <w:tr w:rsidR="00B53800" w:rsidRPr="001D52A0" w14:paraId="646E6E02" w14:textId="77777777" w:rsidTr="00B53800">
        <w:trPr>
          <w:trHeight w:val="405"/>
        </w:trPr>
        <w:tc>
          <w:tcPr>
            <w:tcW w:w="3074" w:type="dxa"/>
            <w:tcBorders>
              <w:top w:val="nil"/>
              <w:left w:val="single" w:sz="4" w:space="0" w:color="auto"/>
              <w:bottom w:val="single" w:sz="4" w:space="0" w:color="auto"/>
              <w:right w:val="single" w:sz="4" w:space="0" w:color="auto"/>
            </w:tcBorders>
            <w:shd w:val="clear" w:color="auto" w:fill="auto"/>
            <w:vAlign w:val="center"/>
          </w:tcPr>
          <w:p w14:paraId="498B75D4" w14:textId="77777777" w:rsidR="00B53800" w:rsidRPr="001D52A0" w:rsidRDefault="00B53800" w:rsidP="00B53800">
            <w:pPr>
              <w:rPr>
                <w:rFonts w:asciiTheme="minorHAnsi" w:hAnsiTheme="minorHAnsi" w:cs="Arial"/>
                <w:sz w:val="22"/>
                <w:szCs w:val="22"/>
                <w:lang w:eastAsia="en-GB"/>
              </w:rPr>
            </w:pPr>
            <w:r w:rsidRPr="001D52A0">
              <w:rPr>
                <w:rFonts w:asciiTheme="minorHAnsi" w:hAnsiTheme="minorHAnsi" w:cs="Arial"/>
                <w:sz w:val="22"/>
                <w:szCs w:val="22"/>
                <w:lang w:eastAsia="en-GB"/>
              </w:rPr>
              <w:t>Revenue funding of Debt</w:t>
            </w:r>
          </w:p>
        </w:tc>
        <w:tc>
          <w:tcPr>
            <w:tcW w:w="1657" w:type="dxa"/>
            <w:tcBorders>
              <w:top w:val="nil"/>
              <w:left w:val="single" w:sz="4" w:space="0" w:color="auto"/>
              <w:bottom w:val="single" w:sz="4" w:space="0" w:color="auto"/>
              <w:right w:val="single" w:sz="4" w:space="0" w:color="auto"/>
            </w:tcBorders>
            <w:vAlign w:val="center"/>
          </w:tcPr>
          <w:p w14:paraId="6CC2E783" w14:textId="4043486C" w:rsidR="00B53800" w:rsidRPr="001D52A0" w:rsidRDefault="00B53800" w:rsidP="00B53800">
            <w:pPr>
              <w:jc w:val="right"/>
              <w:rPr>
                <w:rFonts w:asciiTheme="minorHAnsi" w:hAnsiTheme="minorHAnsi" w:cs="Arial"/>
                <w:sz w:val="22"/>
                <w:szCs w:val="22"/>
                <w:lang w:eastAsia="en-GB"/>
              </w:rPr>
            </w:pPr>
            <w:r w:rsidRPr="001D52A0">
              <w:rPr>
                <w:rFonts w:asciiTheme="minorHAnsi" w:hAnsiTheme="minorHAnsi" w:cs="Arial"/>
                <w:sz w:val="22"/>
                <w:szCs w:val="22"/>
                <w:lang w:eastAsia="en-GB"/>
              </w:rPr>
              <w:t>984</w:t>
            </w:r>
          </w:p>
        </w:tc>
        <w:tc>
          <w:tcPr>
            <w:tcW w:w="1657" w:type="dxa"/>
            <w:tcBorders>
              <w:top w:val="nil"/>
              <w:left w:val="single" w:sz="4" w:space="0" w:color="auto"/>
              <w:bottom w:val="single" w:sz="4" w:space="0" w:color="auto"/>
              <w:right w:val="single" w:sz="4" w:space="0" w:color="auto"/>
            </w:tcBorders>
            <w:shd w:val="clear" w:color="auto" w:fill="auto"/>
            <w:vAlign w:val="center"/>
          </w:tcPr>
          <w:p w14:paraId="1871E956" w14:textId="3842D3DB" w:rsidR="00B53800" w:rsidRPr="001D52A0" w:rsidRDefault="00502F5A" w:rsidP="00B53800">
            <w:pPr>
              <w:jc w:val="right"/>
              <w:rPr>
                <w:rFonts w:asciiTheme="minorHAnsi" w:hAnsiTheme="minorHAnsi" w:cs="Arial"/>
                <w:sz w:val="22"/>
                <w:szCs w:val="22"/>
                <w:lang w:eastAsia="en-GB"/>
              </w:rPr>
            </w:pPr>
            <w:r w:rsidRPr="001D52A0">
              <w:rPr>
                <w:rFonts w:asciiTheme="minorHAnsi" w:hAnsiTheme="minorHAnsi" w:cs="Arial"/>
                <w:sz w:val="22"/>
                <w:szCs w:val="22"/>
                <w:lang w:eastAsia="en-GB"/>
              </w:rPr>
              <w:t>1,006</w:t>
            </w:r>
          </w:p>
        </w:tc>
        <w:tc>
          <w:tcPr>
            <w:tcW w:w="1657" w:type="dxa"/>
            <w:tcBorders>
              <w:top w:val="nil"/>
              <w:left w:val="nil"/>
              <w:bottom w:val="single" w:sz="4" w:space="0" w:color="auto"/>
              <w:right w:val="single" w:sz="4" w:space="0" w:color="auto"/>
            </w:tcBorders>
            <w:shd w:val="clear" w:color="auto" w:fill="auto"/>
            <w:vAlign w:val="center"/>
          </w:tcPr>
          <w:p w14:paraId="65115172" w14:textId="6884F93E" w:rsidR="00B53800" w:rsidRPr="001D52A0" w:rsidRDefault="00502F5A" w:rsidP="00B53800">
            <w:pPr>
              <w:jc w:val="right"/>
              <w:rPr>
                <w:rFonts w:asciiTheme="minorHAnsi" w:hAnsiTheme="minorHAnsi" w:cs="Arial"/>
                <w:sz w:val="22"/>
                <w:szCs w:val="22"/>
                <w:lang w:eastAsia="en-GB"/>
              </w:rPr>
            </w:pPr>
            <w:r w:rsidRPr="001D52A0">
              <w:rPr>
                <w:rFonts w:asciiTheme="minorHAnsi" w:hAnsiTheme="minorHAnsi" w:cs="Arial"/>
                <w:sz w:val="22"/>
                <w:szCs w:val="22"/>
                <w:lang w:eastAsia="en-GB"/>
              </w:rPr>
              <w:t>22</w:t>
            </w:r>
          </w:p>
        </w:tc>
      </w:tr>
      <w:tr w:rsidR="00B53800" w:rsidRPr="001D52A0" w14:paraId="7BADDDC9" w14:textId="77777777" w:rsidTr="00B53800">
        <w:trPr>
          <w:trHeight w:val="405"/>
        </w:trPr>
        <w:tc>
          <w:tcPr>
            <w:tcW w:w="3074" w:type="dxa"/>
            <w:tcBorders>
              <w:top w:val="nil"/>
              <w:left w:val="single" w:sz="4" w:space="0" w:color="auto"/>
              <w:bottom w:val="single" w:sz="4" w:space="0" w:color="auto"/>
              <w:right w:val="single" w:sz="4" w:space="0" w:color="auto"/>
            </w:tcBorders>
            <w:shd w:val="clear" w:color="auto" w:fill="auto"/>
            <w:vAlign w:val="center"/>
          </w:tcPr>
          <w:p w14:paraId="7B7F3CA2" w14:textId="77777777" w:rsidR="00B53800" w:rsidRPr="001D52A0" w:rsidRDefault="00B53800" w:rsidP="00B53800">
            <w:pPr>
              <w:rPr>
                <w:rFonts w:asciiTheme="minorHAnsi" w:hAnsiTheme="minorHAnsi" w:cs="Arial"/>
                <w:sz w:val="22"/>
                <w:szCs w:val="22"/>
                <w:lang w:eastAsia="en-GB"/>
              </w:rPr>
            </w:pPr>
            <w:r w:rsidRPr="001D52A0">
              <w:rPr>
                <w:rFonts w:asciiTheme="minorHAnsi" w:hAnsiTheme="minorHAnsi" w:cs="Arial"/>
                <w:sz w:val="22"/>
                <w:szCs w:val="22"/>
                <w:lang w:eastAsia="en-GB"/>
              </w:rPr>
              <w:t>Concession Accounting Adjustment</w:t>
            </w:r>
          </w:p>
        </w:tc>
        <w:tc>
          <w:tcPr>
            <w:tcW w:w="1657" w:type="dxa"/>
            <w:tcBorders>
              <w:top w:val="nil"/>
              <w:left w:val="single" w:sz="4" w:space="0" w:color="auto"/>
              <w:bottom w:val="single" w:sz="4" w:space="0" w:color="auto"/>
              <w:right w:val="single" w:sz="4" w:space="0" w:color="auto"/>
            </w:tcBorders>
            <w:vAlign w:val="center"/>
          </w:tcPr>
          <w:p w14:paraId="6C64E8C5" w14:textId="703E2070" w:rsidR="00B53800" w:rsidRPr="001D52A0" w:rsidRDefault="00B53800" w:rsidP="00B53800">
            <w:pPr>
              <w:jc w:val="right"/>
              <w:rPr>
                <w:rFonts w:asciiTheme="minorHAnsi" w:hAnsiTheme="minorHAnsi" w:cs="Arial"/>
                <w:sz w:val="22"/>
                <w:szCs w:val="22"/>
                <w:lang w:eastAsia="en-GB"/>
              </w:rPr>
            </w:pPr>
            <w:r w:rsidRPr="001D52A0">
              <w:rPr>
                <w:rFonts w:asciiTheme="minorHAnsi" w:hAnsiTheme="minorHAnsi" w:cs="Arial"/>
                <w:sz w:val="22"/>
                <w:szCs w:val="22"/>
                <w:lang w:eastAsia="en-GB"/>
              </w:rPr>
              <w:t>(456)</w:t>
            </w:r>
          </w:p>
        </w:tc>
        <w:tc>
          <w:tcPr>
            <w:tcW w:w="1657" w:type="dxa"/>
            <w:tcBorders>
              <w:top w:val="nil"/>
              <w:left w:val="single" w:sz="4" w:space="0" w:color="auto"/>
              <w:bottom w:val="single" w:sz="4" w:space="0" w:color="auto"/>
              <w:right w:val="single" w:sz="4" w:space="0" w:color="auto"/>
            </w:tcBorders>
            <w:shd w:val="clear" w:color="auto" w:fill="auto"/>
            <w:vAlign w:val="center"/>
          </w:tcPr>
          <w:p w14:paraId="27A11114" w14:textId="06A43BAE" w:rsidR="00B53800" w:rsidRPr="001D52A0" w:rsidRDefault="00502F5A" w:rsidP="00B53800">
            <w:pPr>
              <w:jc w:val="right"/>
              <w:rPr>
                <w:rFonts w:asciiTheme="minorHAnsi" w:hAnsiTheme="minorHAnsi" w:cs="Arial"/>
                <w:sz w:val="22"/>
                <w:szCs w:val="22"/>
                <w:lang w:eastAsia="en-GB"/>
              </w:rPr>
            </w:pPr>
            <w:r w:rsidRPr="001D52A0">
              <w:rPr>
                <w:rFonts w:asciiTheme="minorHAnsi" w:hAnsiTheme="minorHAnsi" w:cs="Arial"/>
                <w:sz w:val="22"/>
                <w:szCs w:val="22"/>
                <w:lang w:eastAsia="en-GB"/>
              </w:rPr>
              <w:t>(451)</w:t>
            </w:r>
          </w:p>
        </w:tc>
        <w:tc>
          <w:tcPr>
            <w:tcW w:w="1657" w:type="dxa"/>
            <w:tcBorders>
              <w:top w:val="nil"/>
              <w:left w:val="nil"/>
              <w:bottom w:val="single" w:sz="4" w:space="0" w:color="auto"/>
              <w:right w:val="single" w:sz="4" w:space="0" w:color="auto"/>
            </w:tcBorders>
            <w:shd w:val="clear" w:color="auto" w:fill="auto"/>
            <w:vAlign w:val="center"/>
          </w:tcPr>
          <w:p w14:paraId="6918E8F5" w14:textId="505AB71C" w:rsidR="00B53800" w:rsidRPr="001D52A0" w:rsidRDefault="00502F5A" w:rsidP="00B53800">
            <w:pPr>
              <w:jc w:val="right"/>
              <w:rPr>
                <w:rFonts w:asciiTheme="minorHAnsi" w:hAnsiTheme="minorHAnsi" w:cs="Arial"/>
                <w:sz w:val="22"/>
                <w:szCs w:val="22"/>
                <w:lang w:eastAsia="en-GB"/>
              </w:rPr>
            </w:pPr>
            <w:r w:rsidRPr="001D52A0">
              <w:rPr>
                <w:rFonts w:asciiTheme="minorHAnsi" w:hAnsiTheme="minorHAnsi" w:cs="Arial"/>
                <w:sz w:val="22"/>
                <w:szCs w:val="22"/>
                <w:lang w:eastAsia="en-GB"/>
              </w:rPr>
              <w:t>5</w:t>
            </w:r>
          </w:p>
        </w:tc>
      </w:tr>
      <w:tr w:rsidR="00B53800" w:rsidRPr="001D52A0" w14:paraId="6DB994CC" w14:textId="77777777" w:rsidTr="00B53800">
        <w:trPr>
          <w:trHeight w:val="405"/>
        </w:trPr>
        <w:tc>
          <w:tcPr>
            <w:tcW w:w="3074" w:type="dxa"/>
            <w:tcBorders>
              <w:top w:val="nil"/>
              <w:left w:val="single" w:sz="4" w:space="0" w:color="auto"/>
              <w:bottom w:val="single" w:sz="4" w:space="0" w:color="auto"/>
              <w:right w:val="single" w:sz="4" w:space="0" w:color="auto"/>
            </w:tcBorders>
            <w:shd w:val="clear" w:color="auto" w:fill="auto"/>
            <w:vAlign w:val="center"/>
            <w:hideMark/>
          </w:tcPr>
          <w:p w14:paraId="58225F9B" w14:textId="77777777" w:rsidR="00B53800" w:rsidRPr="001D52A0" w:rsidRDefault="00B53800" w:rsidP="00B53800">
            <w:pPr>
              <w:rPr>
                <w:rFonts w:asciiTheme="minorHAnsi" w:hAnsiTheme="minorHAnsi" w:cs="Arial"/>
                <w:sz w:val="22"/>
                <w:szCs w:val="22"/>
                <w:lang w:eastAsia="en-GB"/>
              </w:rPr>
            </w:pPr>
            <w:r w:rsidRPr="001D52A0">
              <w:rPr>
                <w:rFonts w:asciiTheme="minorHAnsi" w:hAnsiTheme="minorHAnsi" w:cs="Arial"/>
                <w:sz w:val="22"/>
                <w:szCs w:val="22"/>
                <w:lang w:eastAsia="en-GB"/>
              </w:rPr>
              <w:t>Non Levy Income</w:t>
            </w:r>
          </w:p>
        </w:tc>
        <w:tc>
          <w:tcPr>
            <w:tcW w:w="1657" w:type="dxa"/>
            <w:tcBorders>
              <w:top w:val="nil"/>
              <w:left w:val="single" w:sz="4" w:space="0" w:color="auto"/>
              <w:bottom w:val="single" w:sz="4" w:space="0" w:color="auto"/>
              <w:right w:val="single" w:sz="4" w:space="0" w:color="auto"/>
            </w:tcBorders>
            <w:vAlign w:val="center"/>
          </w:tcPr>
          <w:p w14:paraId="79560D7C" w14:textId="1A6F544A" w:rsidR="00B53800" w:rsidRPr="001D52A0" w:rsidRDefault="00B53800" w:rsidP="00B53800">
            <w:pPr>
              <w:jc w:val="right"/>
              <w:rPr>
                <w:rFonts w:asciiTheme="minorHAnsi" w:hAnsiTheme="minorHAnsi" w:cs="Arial"/>
                <w:sz w:val="22"/>
                <w:szCs w:val="22"/>
                <w:lang w:eastAsia="en-GB"/>
              </w:rPr>
            </w:pPr>
            <w:r w:rsidRPr="001D52A0">
              <w:rPr>
                <w:rFonts w:asciiTheme="minorHAnsi" w:hAnsiTheme="minorHAnsi" w:cs="Arial"/>
                <w:sz w:val="22"/>
                <w:szCs w:val="22"/>
                <w:lang w:eastAsia="en-GB"/>
              </w:rPr>
              <w:t>(2,582)</w:t>
            </w:r>
          </w:p>
        </w:tc>
        <w:tc>
          <w:tcPr>
            <w:tcW w:w="1657" w:type="dxa"/>
            <w:tcBorders>
              <w:top w:val="nil"/>
              <w:left w:val="single" w:sz="4" w:space="0" w:color="auto"/>
              <w:bottom w:val="single" w:sz="4" w:space="0" w:color="auto"/>
              <w:right w:val="single" w:sz="4" w:space="0" w:color="auto"/>
            </w:tcBorders>
            <w:shd w:val="clear" w:color="auto" w:fill="auto"/>
            <w:vAlign w:val="center"/>
          </w:tcPr>
          <w:p w14:paraId="45AFE534" w14:textId="67C07E6E" w:rsidR="00B53800" w:rsidRPr="001D52A0" w:rsidRDefault="00502F5A" w:rsidP="00B53800">
            <w:pPr>
              <w:jc w:val="right"/>
              <w:rPr>
                <w:rFonts w:asciiTheme="minorHAnsi" w:hAnsiTheme="minorHAnsi" w:cs="Arial"/>
                <w:sz w:val="22"/>
                <w:szCs w:val="22"/>
                <w:lang w:eastAsia="en-GB"/>
              </w:rPr>
            </w:pPr>
            <w:r w:rsidRPr="001D52A0">
              <w:rPr>
                <w:rFonts w:asciiTheme="minorHAnsi" w:hAnsiTheme="minorHAnsi" w:cs="Arial"/>
                <w:sz w:val="22"/>
                <w:szCs w:val="22"/>
                <w:lang w:eastAsia="en-GB"/>
              </w:rPr>
              <w:t>(3,678)</w:t>
            </w:r>
          </w:p>
        </w:tc>
        <w:tc>
          <w:tcPr>
            <w:tcW w:w="1657" w:type="dxa"/>
            <w:tcBorders>
              <w:top w:val="nil"/>
              <w:left w:val="nil"/>
              <w:bottom w:val="single" w:sz="4" w:space="0" w:color="auto"/>
              <w:right w:val="single" w:sz="4" w:space="0" w:color="auto"/>
            </w:tcBorders>
            <w:shd w:val="clear" w:color="auto" w:fill="auto"/>
            <w:vAlign w:val="center"/>
          </w:tcPr>
          <w:p w14:paraId="07F8C566" w14:textId="230587D3" w:rsidR="00B53800" w:rsidRPr="001D52A0" w:rsidRDefault="00502F5A" w:rsidP="00B53800">
            <w:pPr>
              <w:jc w:val="right"/>
              <w:rPr>
                <w:rFonts w:asciiTheme="minorHAnsi" w:hAnsiTheme="minorHAnsi" w:cs="Arial"/>
                <w:sz w:val="22"/>
                <w:szCs w:val="22"/>
                <w:lang w:eastAsia="en-GB"/>
              </w:rPr>
            </w:pPr>
            <w:r w:rsidRPr="001D52A0">
              <w:rPr>
                <w:rFonts w:asciiTheme="minorHAnsi" w:hAnsiTheme="minorHAnsi" w:cs="Arial"/>
                <w:sz w:val="22"/>
                <w:szCs w:val="22"/>
                <w:lang w:eastAsia="en-GB"/>
              </w:rPr>
              <w:t>(1,096)</w:t>
            </w:r>
          </w:p>
        </w:tc>
      </w:tr>
      <w:tr w:rsidR="00B53800" w:rsidRPr="001D52A0" w14:paraId="79CE7989" w14:textId="77777777" w:rsidTr="00B53800">
        <w:trPr>
          <w:trHeight w:val="405"/>
        </w:trPr>
        <w:tc>
          <w:tcPr>
            <w:tcW w:w="3074" w:type="dxa"/>
            <w:tcBorders>
              <w:top w:val="nil"/>
              <w:left w:val="single" w:sz="4" w:space="0" w:color="auto"/>
              <w:bottom w:val="single" w:sz="4" w:space="0" w:color="auto"/>
              <w:right w:val="single" w:sz="4" w:space="0" w:color="auto"/>
            </w:tcBorders>
            <w:shd w:val="clear" w:color="auto" w:fill="auto"/>
            <w:vAlign w:val="center"/>
          </w:tcPr>
          <w:p w14:paraId="3A88792E" w14:textId="77777777" w:rsidR="00B53800" w:rsidRPr="001D52A0" w:rsidRDefault="00B53800" w:rsidP="00B53800">
            <w:pPr>
              <w:rPr>
                <w:rFonts w:asciiTheme="minorHAnsi" w:hAnsiTheme="minorHAnsi" w:cs="Arial"/>
                <w:sz w:val="22"/>
                <w:szCs w:val="22"/>
                <w:lang w:eastAsia="en-GB"/>
              </w:rPr>
            </w:pPr>
            <w:r w:rsidRPr="001D52A0">
              <w:rPr>
                <w:rFonts w:asciiTheme="minorHAnsi" w:hAnsiTheme="minorHAnsi" w:cs="Arial"/>
                <w:sz w:val="22"/>
                <w:szCs w:val="22"/>
                <w:lang w:eastAsia="en-GB"/>
              </w:rPr>
              <w:t>PPP Income funding programme of work</w:t>
            </w:r>
          </w:p>
        </w:tc>
        <w:tc>
          <w:tcPr>
            <w:tcW w:w="1657" w:type="dxa"/>
            <w:tcBorders>
              <w:top w:val="nil"/>
              <w:left w:val="single" w:sz="4" w:space="0" w:color="auto"/>
              <w:bottom w:val="single" w:sz="4" w:space="0" w:color="auto"/>
              <w:right w:val="single" w:sz="4" w:space="0" w:color="auto"/>
            </w:tcBorders>
            <w:vAlign w:val="center"/>
          </w:tcPr>
          <w:p w14:paraId="262D9B23" w14:textId="18367BF6" w:rsidR="00B53800" w:rsidRPr="001D52A0" w:rsidRDefault="00B53800" w:rsidP="00B53800">
            <w:pPr>
              <w:jc w:val="right"/>
              <w:rPr>
                <w:rFonts w:asciiTheme="minorHAnsi" w:hAnsiTheme="minorHAnsi" w:cs="Arial"/>
                <w:sz w:val="22"/>
                <w:szCs w:val="22"/>
                <w:lang w:eastAsia="en-GB"/>
              </w:rPr>
            </w:pPr>
            <w:r w:rsidRPr="001D52A0">
              <w:rPr>
                <w:rFonts w:asciiTheme="minorHAnsi" w:hAnsiTheme="minorHAnsi" w:cs="Arial"/>
                <w:sz w:val="22"/>
                <w:szCs w:val="22"/>
                <w:lang w:eastAsia="en-GB"/>
              </w:rPr>
              <w:t>(1,120)</w:t>
            </w:r>
          </w:p>
        </w:tc>
        <w:tc>
          <w:tcPr>
            <w:tcW w:w="1657" w:type="dxa"/>
            <w:tcBorders>
              <w:top w:val="nil"/>
              <w:left w:val="single" w:sz="4" w:space="0" w:color="auto"/>
              <w:bottom w:val="single" w:sz="4" w:space="0" w:color="auto"/>
              <w:right w:val="single" w:sz="4" w:space="0" w:color="auto"/>
            </w:tcBorders>
            <w:shd w:val="clear" w:color="auto" w:fill="auto"/>
            <w:vAlign w:val="center"/>
          </w:tcPr>
          <w:p w14:paraId="59AE000B" w14:textId="639A646B" w:rsidR="00B53800" w:rsidRPr="001D52A0" w:rsidRDefault="00502F5A" w:rsidP="00B53800">
            <w:pPr>
              <w:jc w:val="right"/>
              <w:rPr>
                <w:rFonts w:asciiTheme="minorHAnsi" w:hAnsiTheme="minorHAnsi" w:cs="Arial"/>
                <w:sz w:val="22"/>
                <w:szCs w:val="22"/>
                <w:lang w:eastAsia="en-GB"/>
              </w:rPr>
            </w:pPr>
            <w:r w:rsidRPr="001D52A0">
              <w:rPr>
                <w:rFonts w:asciiTheme="minorHAnsi" w:hAnsiTheme="minorHAnsi" w:cs="Arial"/>
                <w:sz w:val="22"/>
                <w:szCs w:val="22"/>
                <w:lang w:eastAsia="en-GB"/>
              </w:rPr>
              <w:t>(1,247)</w:t>
            </w:r>
          </w:p>
        </w:tc>
        <w:tc>
          <w:tcPr>
            <w:tcW w:w="1657" w:type="dxa"/>
            <w:tcBorders>
              <w:top w:val="nil"/>
              <w:left w:val="nil"/>
              <w:bottom w:val="single" w:sz="4" w:space="0" w:color="auto"/>
              <w:right w:val="single" w:sz="4" w:space="0" w:color="auto"/>
            </w:tcBorders>
            <w:shd w:val="clear" w:color="auto" w:fill="auto"/>
            <w:vAlign w:val="center"/>
          </w:tcPr>
          <w:p w14:paraId="034499D7" w14:textId="429AC2FB" w:rsidR="00B53800" w:rsidRPr="001D52A0" w:rsidRDefault="00502F5A" w:rsidP="00B53800">
            <w:pPr>
              <w:jc w:val="right"/>
              <w:rPr>
                <w:rFonts w:asciiTheme="minorHAnsi" w:hAnsiTheme="minorHAnsi" w:cs="Arial"/>
                <w:sz w:val="22"/>
                <w:szCs w:val="22"/>
                <w:lang w:eastAsia="en-GB"/>
              </w:rPr>
            </w:pPr>
            <w:r w:rsidRPr="001D52A0">
              <w:rPr>
                <w:rFonts w:asciiTheme="minorHAnsi" w:hAnsiTheme="minorHAnsi" w:cs="Arial"/>
                <w:sz w:val="22"/>
                <w:szCs w:val="22"/>
                <w:lang w:eastAsia="en-GB"/>
              </w:rPr>
              <w:t>(1,247)</w:t>
            </w:r>
          </w:p>
        </w:tc>
      </w:tr>
      <w:tr w:rsidR="00B53800" w:rsidRPr="001D52A0" w14:paraId="66382467" w14:textId="77777777" w:rsidTr="00B53800">
        <w:trPr>
          <w:trHeight w:val="405"/>
        </w:trPr>
        <w:tc>
          <w:tcPr>
            <w:tcW w:w="3074" w:type="dxa"/>
            <w:tcBorders>
              <w:top w:val="nil"/>
              <w:left w:val="single" w:sz="4" w:space="0" w:color="auto"/>
              <w:bottom w:val="single" w:sz="4" w:space="0" w:color="auto"/>
              <w:right w:val="single" w:sz="4" w:space="0" w:color="auto"/>
            </w:tcBorders>
            <w:shd w:val="clear" w:color="auto" w:fill="auto"/>
            <w:vAlign w:val="center"/>
            <w:hideMark/>
          </w:tcPr>
          <w:p w14:paraId="011971F7" w14:textId="77777777" w:rsidR="00B53800" w:rsidRPr="001D52A0" w:rsidRDefault="00B53800" w:rsidP="00B53800">
            <w:pPr>
              <w:rPr>
                <w:rFonts w:asciiTheme="minorHAnsi" w:hAnsiTheme="minorHAnsi" w:cs="Arial"/>
                <w:sz w:val="22"/>
                <w:szCs w:val="22"/>
                <w:lang w:eastAsia="en-GB"/>
              </w:rPr>
            </w:pPr>
            <w:r w:rsidRPr="001D52A0">
              <w:rPr>
                <w:rFonts w:asciiTheme="minorHAnsi" w:hAnsiTheme="minorHAnsi" w:cs="Arial"/>
                <w:sz w:val="22"/>
                <w:szCs w:val="22"/>
                <w:lang w:eastAsia="en-GB"/>
              </w:rPr>
              <w:t>FCL Levy</w:t>
            </w:r>
          </w:p>
        </w:tc>
        <w:tc>
          <w:tcPr>
            <w:tcW w:w="1657" w:type="dxa"/>
            <w:tcBorders>
              <w:top w:val="nil"/>
              <w:left w:val="single" w:sz="4" w:space="0" w:color="auto"/>
              <w:bottom w:val="single" w:sz="4" w:space="0" w:color="auto"/>
              <w:right w:val="single" w:sz="4" w:space="0" w:color="auto"/>
            </w:tcBorders>
            <w:vAlign w:val="center"/>
          </w:tcPr>
          <w:p w14:paraId="6A20C8A7" w14:textId="7D3E404A" w:rsidR="00B53800" w:rsidRPr="001D52A0" w:rsidRDefault="00B53800" w:rsidP="00B53800">
            <w:pPr>
              <w:jc w:val="right"/>
              <w:rPr>
                <w:rFonts w:asciiTheme="minorHAnsi" w:hAnsiTheme="minorHAnsi" w:cs="Arial"/>
                <w:sz w:val="22"/>
                <w:szCs w:val="22"/>
                <w:lang w:eastAsia="en-GB"/>
              </w:rPr>
            </w:pPr>
            <w:r w:rsidRPr="001D52A0">
              <w:rPr>
                <w:rFonts w:asciiTheme="minorHAnsi" w:hAnsiTheme="minorHAnsi" w:cs="Arial"/>
                <w:sz w:val="22"/>
                <w:szCs w:val="22"/>
                <w:lang w:eastAsia="en-GB"/>
              </w:rPr>
              <w:t>(14,030)</w:t>
            </w:r>
          </w:p>
        </w:tc>
        <w:tc>
          <w:tcPr>
            <w:tcW w:w="1657" w:type="dxa"/>
            <w:tcBorders>
              <w:top w:val="nil"/>
              <w:left w:val="single" w:sz="4" w:space="0" w:color="auto"/>
              <w:bottom w:val="single" w:sz="4" w:space="0" w:color="auto"/>
              <w:right w:val="single" w:sz="4" w:space="0" w:color="auto"/>
            </w:tcBorders>
            <w:shd w:val="clear" w:color="auto" w:fill="auto"/>
            <w:vAlign w:val="center"/>
          </w:tcPr>
          <w:p w14:paraId="4FE90B9E" w14:textId="6FF24234" w:rsidR="00B53800" w:rsidRPr="001D52A0" w:rsidRDefault="00502F5A" w:rsidP="001C77E4">
            <w:pPr>
              <w:jc w:val="right"/>
              <w:rPr>
                <w:rFonts w:asciiTheme="minorHAnsi" w:hAnsiTheme="minorHAnsi" w:cs="Arial"/>
                <w:sz w:val="22"/>
                <w:szCs w:val="22"/>
                <w:lang w:eastAsia="en-GB"/>
              </w:rPr>
            </w:pPr>
            <w:r w:rsidRPr="001D52A0">
              <w:rPr>
                <w:rFonts w:asciiTheme="minorHAnsi" w:hAnsiTheme="minorHAnsi" w:cs="Arial"/>
                <w:sz w:val="22"/>
                <w:szCs w:val="22"/>
                <w:lang w:eastAsia="en-GB"/>
              </w:rPr>
              <w:t>(15,1</w:t>
            </w:r>
            <w:r w:rsidR="001C77E4" w:rsidRPr="001D52A0">
              <w:rPr>
                <w:rFonts w:asciiTheme="minorHAnsi" w:hAnsiTheme="minorHAnsi" w:cs="Arial"/>
                <w:sz w:val="22"/>
                <w:szCs w:val="22"/>
                <w:lang w:eastAsia="en-GB"/>
              </w:rPr>
              <w:t>69</w:t>
            </w:r>
            <w:r w:rsidRPr="001D52A0">
              <w:rPr>
                <w:rFonts w:asciiTheme="minorHAnsi" w:hAnsiTheme="minorHAnsi" w:cs="Arial"/>
                <w:sz w:val="22"/>
                <w:szCs w:val="22"/>
                <w:lang w:eastAsia="en-GB"/>
              </w:rPr>
              <w:t>)</w:t>
            </w:r>
          </w:p>
        </w:tc>
        <w:tc>
          <w:tcPr>
            <w:tcW w:w="1657" w:type="dxa"/>
            <w:tcBorders>
              <w:top w:val="nil"/>
              <w:left w:val="nil"/>
              <w:bottom w:val="single" w:sz="4" w:space="0" w:color="auto"/>
              <w:right w:val="single" w:sz="4" w:space="0" w:color="auto"/>
            </w:tcBorders>
            <w:shd w:val="clear" w:color="auto" w:fill="auto"/>
            <w:vAlign w:val="center"/>
          </w:tcPr>
          <w:p w14:paraId="3A6F9872" w14:textId="685718AA" w:rsidR="00B53800" w:rsidRPr="001D52A0" w:rsidRDefault="00502F5A" w:rsidP="00B53800">
            <w:pPr>
              <w:jc w:val="right"/>
              <w:rPr>
                <w:rFonts w:asciiTheme="minorHAnsi" w:hAnsiTheme="minorHAnsi" w:cs="Arial"/>
                <w:sz w:val="22"/>
                <w:szCs w:val="22"/>
                <w:lang w:eastAsia="en-GB"/>
              </w:rPr>
            </w:pPr>
            <w:r w:rsidRPr="001D52A0">
              <w:rPr>
                <w:rFonts w:asciiTheme="minorHAnsi" w:hAnsiTheme="minorHAnsi" w:cs="Arial"/>
                <w:sz w:val="22"/>
                <w:szCs w:val="22"/>
                <w:lang w:eastAsia="en-GB"/>
              </w:rPr>
              <w:t>(</w:t>
            </w:r>
            <w:r w:rsidR="00817CFD" w:rsidRPr="001D52A0">
              <w:rPr>
                <w:rFonts w:asciiTheme="minorHAnsi" w:hAnsiTheme="minorHAnsi" w:cs="Arial"/>
                <w:sz w:val="22"/>
                <w:szCs w:val="22"/>
                <w:lang w:eastAsia="en-GB"/>
              </w:rPr>
              <w:t>1,16</w:t>
            </w:r>
            <w:r w:rsidRPr="001D52A0">
              <w:rPr>
                <w:rFonts w:asciiTheme="minorHAnsi" w:hAnsiTheme="minorHAnsi" w:cs="Arial"/>
                <w:sz w:val="22"/>
                <w:szCs w:val="22"/>
                <w:lang w:eastAsia="en-GB"/>
              </w:rPr>
              <w:t>1)</w:t>
            </w:r>
          </w:p>
        </w:tc>
      </w:tr>
      <w:tr w:rsidR="00B53800" w:rsidRPr="001D52A0" w14:paraId="2C2C19BD" w14:textId="77777777" w:rsidTr="00B53800">
        <w:trPr>
          <w:trHeight w:val="405"/>
        </w:trPr>
        <w:tc>
          <w:tcPr>
            <w:tcW w:w="3074" w:type="dxa"/>
            <w:tcBorders>
              <w:top w:val="nil"/>
              <w:left w:val="single" w:sz="4" w:space="0" w:color="auto"/>
              <w:bottom w:val="single" w:sz="4" w:space="0" w:color="auto"/>
              <w:right w:val="single" w:sz="4" w:space="0" w:color="auto"/>
            </w:tcBorders>
            <w:shd w:val="clear" w:color="auto" w:fill="auto"/>
            <w:vAlign w:val="center"/>
            <w:hideMark/>
          </w:tcPr>
          <w:p w14:paraId="12D97F34" w14:textId="77777777" w:rsidR="00B53800" w:rsidRPr="001D52A0" w:rsidRDefault="00B53800" w:rsidP="00B53800">
            <w:pPr>
              <w:rPr>
                <w:rFonts w:asciiTheme="minorHAnsi" w:hAnsiTheme="minorHAnsi" w:cs="Arial"/>
                <w:b/>
                <w:bCs/>
                <w:sz w:val="22"/>
                <w:szCs w:val="22"/>
                <w:lang w:eastAsia="en-GB"/>
              </w:rPr>
            </w:pPr>
            <w:r w:rsidRPr="001D52A0">
              <w:rPr>
                <w:rFonts w:asciiTheme="minorHAnsi" w:hAnsiTheme="minorHAnsi" w:cs="Arial"/>
                <w:b/>
                <w:bCs/>
                <w:sz w:val="22"/>
                <w:szCs w:val="22"/>
                <w:lang w:eastAsia="en-GB"/>
              </w:rPr>
              <w:t>Total</w:t>
            </w:r>
          </w:p>
        </w:tc>
        <w:tc>
          <w:tcPr>
            <w:tcW w:w="1657" w:type="dxa"/>
            <w:tcBorders>
              <w:top w:val="nil"/>
              <w:left w:val="single" w:sz="4" w:space="0" w:color="auto"/>
              <w:bottom w:val="single" w:sz="4" w:space="0" w:color="auto"/>
              <w:right w:val="single" w:sz="4" w:space="0" w:color="auto"/>
            </w:tcBorders>
            <w:vAlign w:val="center"/>
          </w:tcPr>
          <w:p w14:paraId="5A368A7A" w14:textId="5835525D" w:rsidR="00B53800" w:rsidRPr="001D52A0" w:rsidRDefault="00B53800" w:rsidP="00B53800">
            <w:pPr>
              <w:jc w:val="right"/>
              <w:rPr>
                <w:rFonts w:asciiTheme="minorHAnsi" w:hAnsiTheme="minorHAnsi" w:cs="Arial"/>
                <w:b/>
                <w:bCs/>
                <w:sz w:val="22"/>
                <w:szCs w:val="22"/>
                <w:lang w:eastAsia="en-GB"/>
              </w:rPr>
            </w:pPr>
            <w:r w:rsidRPr="001D52A0">
              <w:rPr>
                <w:rFonts w:asciiTheme="minorHAnsi" w:hAnsiTheme="minorHAnsi" w:cs="Arial"/>
                <w:b/>
                <w:bCs/>
                <w:sz w:val="22"/>
                <w:szCs w:val="22"/>
                <w:lang w:eastAsia="en-GB"/>
              </w:rPr>
              <w:t>0</w:t>
            </w:r>
          </w:p>
        </w:tc>
        <w:tc>
          <w:tcPr>
            <w:tcW w:w="1657" w:type="dxa"/>
            <w:tcBorders>
              <w:top w:val="nil"/>
              <w:left w:val="single" w:sz="4" w:space="0" w:color="auto"/>
              <w:bottom w:val="single" w:sz="4" w:space="0" w:color="auto"/>
              <w:right w:val="single" w:sz="4" w:space="0" w:color="auto"/>
            </w:tcBorders>
            <w:shd w:val="clear" w:color="auto" w:fill="auto"/>
            <w:vAlign w:val="center"/>
            <w:hideMark/>
          </w:tcPr>
          <w:p w14:paraId="1D2FE02B" w14:textId="77777777" w:rsidR="00B53800" w:rsidRPr="001D52A0" w:rsidRDefault="00B53800" w:rsidP="00B53800">
            <w:pPr>
              <w:jc w:val="right"/>
              <w:rPr>
                <w:rFonts w:asciiTheme="minorHAnsi" w:hAnsiTheme="minorHAnsi" w:cs="Arial"/>
                <w:b/>
                <w:bCs/>
                <w:sz w:val="22"/>
                <w:szCs w:val="22"/>
                <w:lang w:eastAsia="en-GB"/>
              </w:rPr>
            </w:pPr>
            <w:r w:rsidRPr="001D52A0">
              <w:rPr>
                <w:rFonts w:asciiTheme="minorHAnsi" w:hAnsiTheme="minorHAnsi" w:cs="Arial"/>
                <w:b/>
                <w:bCs/>
                <w:sz w:val="22"/>
                <w:szCs w:val="22"/>
                <w:lang w:eastAsia="en-GB"/>
              </w:rPr>
              <w:t>0</w:t>
            </w:r>
          </w:p>
        </w:tc>
        <w:tc>
          <w:tcPr>
            <w:tcW w:w="1657" w:type="dxa"/>
            <w:tcBorders>
              <w:top w:val="nil"/>
              <w:left w:val="nil"/>
              <w:bottom w:val="single" w:sz="4" w:space="0" w:color="auto"/>
              <w:right w:val="single" w:sz="4" w:space="0" w:color="auto"/>
            </w:tcBorders>
            <w:shd w:val="clear" w:color="auto" w:fill="auto"/>
            <w:vAlign w:val="center"/>
            <w:hideMark/>
          </w:tcPr>
          <w:p w14:paraId="50B789BE" w14:textId="77777777" w:rsidR="00B53800" w:rsidRPr="001D52A0" w:rsidRDefault="00B53800" w:rsidP="00B53800">
            <w:pPr>
              <w:jc w:val="right"/>
              <w:rPr>
                <w:rFonts w:asciiTheme="minorHAnsi" w:hAnsiTheme="minorHAnsi" w:cs="Arial"/>
                <w:b/>
                <w:bCs/>
                <w:sz w:val="22"/>
                <w:szCs w:val="22"/>
                <w:lang w:eastAsia="en-GB"/>
              </w:rPr>
            </w:pPr>
            <w:r w:rsidRPr="001D52A0">
              <w:rPr>
                <w:rFonts w:asciiTheme="minorHAnsi" w:hAnsiTheme="minorHAnsi" w:cs="Arial"/>
                <w:b/>
                <w:bCs/>
                <w:sz w:val="22"/>
                <w:szCs w:val="22"/>
                <w:lang w:eastAsia="en-GB"/>
              </w:rPr>
              <w:t>0</w:t>
            </w:r>
          </w:p>
        </w:tc>
      </w:tr>
    </w:tbl>
    <w:p w14:paraId="32E427BA" w14:textId="77777777" w:rsidR="00FD00A1" w:rsidRPr="001D52A0" w:rsidRDefault="00FD00A1" w:rsidP="00FD00A1">
      <w:pPr>
        <w:rPr>
          <w:rFonts w:asciiTheme="minorHAnsi" w:hAnsiTheme="minorHAnsi" w:cs="Arial"/>
          <w:vanish/>
          <w:sz w:val="22"/>
          <w:szCs w:val="22"/>
        </w:rPr>
      </w:pPr>
    </w:p>
    <w:p w14:paraId="75D4C9A8" w14:textId="03018628" w:rsidR="00FD00A1" w:rsidRPr="001D52A0" w:rsidRDefault="003E1144" w:rsidP="00FD00A1">
      <w:pPr>
        <w:autoSpaceDE w:val="0"/>
        <w:autoSpaceDN w:val="0"/>
        <w:adjustRightInd w:val="0"/>
        <w:spacing w:before="240" w:after="120"/>
        <w:ind w:left="720" w:hanging="720"/>
        <w:jc w:val="both"/>
        <w:rPr>
          <w:rFonts w:asciiTheme="minorHAnsi" w:hAnsiTheme="minorHAnsi" w:cs="Arial"/>
          <w:sz w:val="22"/>
          <w:szCs w:val="22"/>
        </w:rPr>
      </w:pPr>
      <w:r w:rsidRPr="001D52A0">
        <w:rPr>
          <w:rFonts w:asciiTheme="minorHAnsi" w:hAnsiTheme="minorHAnsi" w:cs="Arial"/>
          <w:sz w:val="22"/>
          <w:szCs w:val="22"/>
        </w:rPr>
        <w:t>13.4 Note</w:t>
      </w:r>
      <w:r w:rsidR="008862AC" w:rsidRPr="001D52A0">
        <w:rPr>
          <w:rFonts w:asciiTheme="minorHAnsi" w:hAnsiTheme="minorHAnsi" w:cs="Arial"/>
          <w:sz w:val="22"/>
          <w:szCs w:val="22"/>
        </w:rPr>
        <w:t xml:space="preserve"> th</w:t>
      </w:r>
      <w:r w:rsidR="00124D7F" w:rsidRPr="001D52A0">
        <w:rPr>
          <w:rFonts w:asciiTheme="minorHAnsi" w:hAnsiTheme="minorHAnsi" w:cs="Arial"/>
          <w:sz w:val="22"/>
          <w:szCs w:val="22"/>
        </w:rPr>
        <w:t>at above there are two elements of the PAYT and one element of FCL</w:t>
      </w:r>
      <w:r w:rsidR="008862AC" w:rsidRPr="001D52A0">
        <w:rPr>
          <w:rFonts w:asciiTheme="minorHAnsi" w:hAnsiTheme="minorHAnsi" w:cs="Arial"/>
          <w:sz w:val="22"/>
          <w:szCs w:val="22"/>
        </w:rPr>
        <w:t>.</w:t>
      </w:r>
      <w:r w:rsidR="00FD00A1" w:rsidRPr="001D52A0">
        <w:rPr>
          <w:rFonts w:asciiTheme="minorHAnsi" w:hAnsiTheme="minorHAnsi" w:cs="Arial"/>
          <w:sz w:val="22"/>
          <w:szCs w:val="22"/>
        </w:rPr>
        <w:t xml:space="preserve"> </w:t>
      </w:r>
    </w:p>
    <w:p w14:paraId="7F492FFB" w14:textId="77777777" w:rsidR="0079786E" w:rsidRPr="001D52A0" w:rsidRDefault="0079786E" w:rsidP="00B7637B">
      <w:pPr>
        <w:numPr>
          <w:ilvl w:val="0"/>
          <w:numId w:val="34"/>
        </w:numPr>
        <w:autoSpaceDE w:val="0"/>
        <w:autoSpaceDN w:val="0"/>
        <w:adjustRightInd w:val="0"/>
        <w:spacing w:before="240" w:after="120"/>
        <w:jc w:val="both"/>
        <w:rPr>
          <w:rFonts w:asciiTheme="minorHAnsi" w:hAnsiTheme="minorHAnsi" w:cs="Arial"/>
          <w:b/>
          <w:sz w:val="22"/>
          <w:szCs w:val="22"/>
        </w:rPr>
      </w:pPr>
      <w:r w:rsidRPr="001D52A0">
        <w:rPr>
          <w:rFonts w:asciiTheme="minorHAnsi" w:hAnsiTheme="minorHAnsi" w:cs="Arial"/>
          <w:b/>
          <w:sz w:val="22"/>
          <w:szCs w:val="22"/>
        </w:rPr>
        <w:t xml:space="preserve">Levy </w:t>
      </w:r>
      <w:r w:rsidR="00FD00A1" w:rsidRPr="001D52A0">
        <w:rPr>
          <w:rFonts w:asciiTheme="minorHAnsi" w:hAnsiTheme="minorHAnsi" w:cs="Arial"/>
          <w:b/>
          <w:sz w:val="22"/>
          <w:szCs w:val="22"/>
        </w:rPr>
        <w:t>Setting</w:t>
      </w:r>
    </w:p>
    <w:p w14:paraId="35C2BD6D" w14:textId="77777777" w:rsidR="00FD00A1" w:rsidRPr="001D52A0" w:rsidRDefault="003C500D" w:rsidP="004E4209">
      <w:pPr>
        <w:numPr>
          <w:ilvl w:val="1"/>
          <w:numId w:val="21"/>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The breakdown of the Authority’s costs into the three components identified in section 13 are the basis of the charging to boroughs. Each element is apportioned to boroughs in different ways.</w:t>
      </w:r>
    </w:p>
    <w:p w14:paraId="0AE9C136" w14:textId="77777777" w:rsidR="00FD00A1" w:rsidRPr="001D52A0" w:rsidRDefault="00FD00A1" w:rsidP="004E4209">
      <w:pPr>
        <w:numPr>
          <w:ilvl w:val="0"/>
          <w:numId w:val="12"/>
        </w:numPr>
        <w:autoSpaceDE w:val="0"/>
        <w:autoSpaceDN w:val="0"/>
        <w:adjustRightInd w:val="0"/>
        <w:spacing w:after="120"/>
        <w:jc w:val="both"/>
        <w:rPr>
          <w:rFonts w:asciiTheme="minorHAnsi" w:hAnsiTheme="minorHAnsi" w:cs="Arial"/>
          <w:sz w:val="22"/>
          <w:szCs w:val="22"/>
        </w:rPr>
      </w:pPr>
      <w:r w:rsidRPr="001D52A0">
        <w:rPr>
          <w:rFonts w:asciiTheme="minorHAnsi" w:hAnsiTheme="minorHAnsi" w:cs="Arial"/>
          <w:sz w:val="22"/>
          <w:szCs w:val="22"/>
        </w:rPr>
        <w:t xml:space="preserve">PAYT </w:t>
      </w:r>
      <w:r w:rsidR="00B178D4" w:rsidRPr="001D52A0">
        <w:rPr>
          <w:rFonts w:asciiTheme="minorHAnsi" w:hAnsiTheme="minorHAnsi" w:cs="Arial"/>
          <w:sz w:val="22"/>
          <w:szCs w:val="22"/>
        </w:rPr>
        <w:t xml:space="preserve">(disposal) </w:t>
      </w:r>
      <w:r w:rsidRPr="001D52A0">
        <w:rPr>
          <w:rFonts w:asciiTheme="minorHAnsi" w:hAnsiTheme="minorHAnsi" w:cs="Arial"/>
          <w:sz w:val="22"/>
          <w:szCs w:val="22"/>
        </w:rPr>
        <w:t>–</w:t>
      </w:r>
      <w:r w:rsidR="00734980" w:rsidRPr="001D52A0">
        <w:rPr>
          <w:rFonts w:asciiTheme="minorHAnsi" w:hAnsiTheme="minorHAnsi" w:cs="Arial"/>
          <w:sz w:val="22"/>
          <w:szCs w:val="22"/>
        </w:rPr>
        <w:t xml:space="preserve"> R</w:t>
      </w:r>
      <w:r w:rsidRPr="001D52A0">
        <w:rPr>
          <w:rFonts w:asciiTheme="minorHAnsi" w:hAnsiTheme="minorHAnsi" w:cs="Arial"/>
          <w:sz w:val="22"/>
          <w:szCs w:val="22"/>
        </w:rPr>
        <w:t xml:space="preserve">ates </w:t>
      </w:r>
      <w:r w:rsidR="00734980" w:rsidRPr="001D52A0">
        <w:rPr>
          <w:rFonts w:asciiTheme="minorHAnsi" w:hAnsiTheme="minorHAnsi" w:cs="Arial"/>
          <w:sz w:val="22"/>
          <w:szCs w:val="22"/>
        </w:rPr>
        <w:t xml:space="preserve">(£/tonne) </w:t>
      </w:r>
      <w:r w:rsidRPr="001D52A0">
        <w:rPr>
          <w:rFonts w:asciiTheme="minorHAnsi" w:hAnsiTheme="minorHAnsi" w:cs="Arial"/>
          <w:sz w:val="22"/>
          <w:szCs w:val="22"/>
        </w:rPr>
        <w:t xml:space="preserve">for different materials </w:t>
      </w:r>
      <w:r w:rsidR="00734980" w:rsidRPr="001D52A0">
        <w:rPr>
          <w:rFonts w:asciiTheme="minorHAnsi" w:hAnsiTheme="minorHAnsi" w:cs="Arial"/>
          <w:sz w:val="22"/>
          <w:szCs w:val="22"/>
        </w:rPr>
        <w:t>which reflect the average prices paid to contractors</w:t>
      </w:r>
      <w:r w:rsidRPr="001D52A0">
        <w:rPr>
          <w:rFonts w:asciiTheme="minorHAnsi" w:hAnsiTheme="minorHAnsi" w:cs="Arial"/>
          <w:sz w:val="22"/>
          <w:szCs w:val="22"/>
        </w:rPr>
        <w:t>, charged to boroughs initially on the basis of budgeted tonnes but then reconciled and adjusted (with rebate/charge) at the end of each quarter to reflect the actual tonnages</w:t>
      </w:r>
      <w:r w:rsidR="00485B00" w:rsidRPr="001D52A0">
        <w:rPr>
          <w:rFonts w:asciiTheme="minorHAnsi" w:hAnsiTheme="minorHAnsi" w:cs="Arial"/>
          <w:sz w:val="22"/>
          <w:szCs w:val="22"/>
        </w:rPr>
        <w:t>.</w:t>
      </w:r>
    </w:p>
    <w:p w14:paraId="44A5FA73" w14:textId="77777777" w:rsidR="00734980" w:rsidRPr="001D52A0" w:rsidRDefault="00913DBF" w:rsidP="004E4209">
      <w:pPr>
        <w:numPr>
          <w:ilvl w:val="0"/>
          <w:numId w:val="12"/>
        </w:numPr>
        <w:autoSpaceDE w:val="0"/>
        <w:autoSpaceDN w:val="0"/>
        <w:adjustRightInd w:val="0"/>
        <w:spacing w:after="120"/>
        <w:jc w:val="both"/>
        <w:rPr>
          <w:rFonts w:asciiTheme="minorHAnsi" w:hAnsiTheme="minorHAnsi" w:cs="Arial"/>
          <w:sz w:val="22"/>
          <w:szCs w:val="22"/>
        </w:rPr>
      </w:pPr>
      <w:r w:rsidRPr="001D52A0">
        <w:rPr>
          <w:rFonts w:asciiTheme="minorHAnsi" w:hAnsiTheme="minorHAnsi" w:cs="Arial"/>
          <w:sz w:val="22"/>
          <w:szCs w:val="22"/>
        </w:rPr>
        <w:t>PAYT</w:t>
      </w:r>
      <w:r w:rsidR="00FD00A1" w:rsidRPr="001D52A0">
        <w:rPr>
          <w:rFonts w:asciiTheme="minorHAnsi" w:hAnsiTheme="minorHAnsi" w:cs="Arial"/>
          <w:sz w:val="22"/>
          <w:szCs w:val="22"/>
        </w:rPr>
        <w:t xml:space="preserve"> </w:t>
      </w:r>
      <w:r w:rsidR="00734980" w:rsidRPr="001D52A0">
        <w:rPr>
          <w:rFonts w:asciiTheme="minorHAnsi" w:hAnsiTheme="minorHAnsi" w:cs="Arial"/>
          <w:sz w:val="22"/>
          <w:szCs w:val="22"/>
        </w:rPr>
        <w:t>(</w:t>
      </w:r>
      <w:r w:rsidR="004E7CEC" w:rsidRPr="001D52A0">
        <w:rPr>
          <w:rFonts w:asciiTheme="minorHAnsi" w:hAnsiTheme="minorHAnsi" w:cs="Arial"/>
          <w:sz w:val="22"/>
          <w:szCs w:val="22"/>
        </w:rPr>
        <w:t>SERC)</w:t>
      </w:r>
      <w:r w:rsidR="00734980" w:rsidRPr="001D52A0">
        <w:rPr>
          <w:rFonts w:asciiTheme="minorHAnsi" w:hAnsiTheme="minorHAnsi" w:cs="Arial"/>
          <w:sz w:val="22"/>
          <w:szCs w:val="22"/>
        </w:rPr>
        <w:t xml:space="preserve"> </w:t>
      </w:r>
      <w:r w:rsidR="00FD00A1" w:rsidRPr="001D52A0">
        <w:rPr>
          <w:rFonts w:asciiTheme="minorHAnsi" w:hAnsiTheme="minorHAnsi" w:cs="Arial"/>
          <w:sz w:val="22"/>
          <w:szCs w:val="22"/>
        </w:rPr>
        <w:t>–</w:t>
      </w:r>
      <w:r w:rsidR="00734980" w:rsidRPr="001D52A0">
        <w:rPr>
          <w:rFonts w:asciiTheme="minorHAnsi" w:hAnsiTheme="minorHAnsi" w:cs="Arial"/>
          <w:sz w:val="22"/>
          <w:szCs w:val="22"/>
        </w:rPr>
        <w:t xml:space="preserve"> this is the </w:t>
      </w:r>
      <w:r w:rsidR="004B5CD2" w:rsidRPr="001D52A0">
        <w:rPr>
          <w:rFonts w:asciiTheme="minorHAnsi" w:hAnsiTheme="minorHAnsi" w:cs="Arial"/>
          <w:sz w:val="22"/>
          <w:szCs w:val="22"/>
        </w:rPr>
        <w:t xml:space="preserve">apportioned </w:t>
      </w:r>
      <w:r w:rsidR="00734980" w:rsidRPr="001D52A0">
        <w:rPr>
          <w:rFonts w:asciiTheme="minorHAnsi" w:hAnsiTheme="minorHAnsi" w:cs="Arial"/>
          <w:sz w:val="22"/>
          <w:szCs w:val="22"/>
        </w:rPr>
        <w:t xml:space="preserve">recharge </w:t>
      </w:r>
      <w:r w:rsidR="00427FBD" w:rsidRPr="001D52A0">
        <w:rPr>
          <w:rFonts w:asciiTheme="minorHAnsi" w:hAnsiTheme="minorHAnsi" w:cs="Arial"/>
          <w:sz w:val="22"/>
          <w:szCs w:val="22"/>
        </w:rPr>
        <w:t>of</w:t>
      </w:r>
      <w:r w:rsidR="00734980" w:rsidRPr="001D52A0">
        <w:rPr>
          <w:rFonts w:asciiTheme="minorHAnsi" w:hAnsiTheme="minorHAnsi" w:cs="Arial"/>
          <w:sz w:val="22"/>
          <w:szCs w:val="22"/>
        </w:rPr>
        <w:t xml:space="preserve"> </w:t>
      </w:r>
      <w:r w:rsidR="00B178D4" w:rsidRPr="001D52A0">
        <w:rPr>
          <w:rFonts w:asciiTheme="minorHAnsi" w:hAnsiTheme="minorHAnsi" w:cs="Arial"/>
          <w:sz w:val="22"/>
          <w:szCs w:val="22"/>
        </w:rPr>
        <w:t xml:space="preserve">SERC </w:t>
      </w:r>
      <w:r w:rsidR="00734980" w:rsidRPr="001D52A0">
        <w:rPr>
          <w:rFonts w:asciiTheme="minorHAnsi" w:hAnsiTheme="minorHAnsi" w:cs="Arial"/>
          <w:sz w:val="22"/>
          <w:szCs w:val="22"/>
        </w:rPr>
        <w:t>costs</w:t>
      </w:r>
      <w:r w:rsidR="003C500D" w:rsidRPr="001D52A0">
        <w:rPr>
          <w:rFonts w:asciiTheme="minorHAnsi" w:hAnsiTheme="minorHAnsi" w:cs="Arial"/>
          <w:sz w:val="22"/>
          <w:szCs w:val="22"/>
        </w:rPr>
        <w:t xml:space="preserve"> (depreciation, financing etc) </w:t>
      </w:r>
      <w:r w:rsidR="00734980" w:rsidRPr="001D52A0">
        <w:rPr>
          <w:rFonts w:asciiTheme="minorHAnsi" w:hAnsiTheme="minorHAnsi" w:cs="Arial"/>
          <w:sz w:val="22"/>
          <w:szCs w:val="22"/>
        </w:rPr>
        <w:t xml:space="preserve">. The cost is initially apportioned and charged on the basis of budgeted tonnes then at the end of every quarter recalculated using the actual tonnage with any adjustment being rebated/charged to the borough. </w:t>
      </w:r>
    </w:p>
    <w:p w14:paraId="2E85F2B5" w14:textId="77777777" w:rsidR="00427FBD" w:rsidRPr="001D52A0" w:rsidRDefault="00734980" w:rsidP="004E4209">
      <w:pPr>
        <w:numPr>
          <w:ilvl w:val="0"/>
          <w:numId w:val="12"/>
        </w:numPr>
        <w:autoSpaceDE w:val="0"/>
        <w:autoSpaceDN w:val="0"/>
        <w:adjustRightInd w:val="0"/>
        <w:spacing w:after="120"/>
        <w:jc w:val="both"/>
        <w:rPr>
          <w:rFonts w:asciiTheme="minorHAnsi" w:hAnsiTheme="minorHAnsi" w:cs="Arial"/>
          <w:sz w:val="22"/>
          <w:szCs w:val="22"/>
        </w:rPr>
      </w:pPr>
      <w:r w:rsidRPr="001D52A0">
        <w:rPr>
          <w:rFonts w:asciiTheme="minorHAnsi" w:hAnsiTheme="minorHAnsi" w:cs="Arial"/>
          <w:sz w:val="22"/>
          <w:szCs w:val="22"/>
        </w:rPr>
        <w:t xml:space="preserve">FCL (fixed) – this is the recharge for all other costs </w:t>
      </w:r>
      <w:r w:rsidR="004B5CD2" w:rsidRPr="001D52A0">
        <w:rPr>
          <w:rFonts w:asciiTheme="minorHAnsi" w:hAnsiTheme="minorHAnsi" w:cs="Arial"/>
          <w:sz w:val="22"/>
          <w:szCs w:val="22"/>
        </w:rPr>
        <w:t>(i.e. HRRC, overheads</w:t>
      </w:r>
      <w:r w:rsidR="003A1F6C" w:rsidRPr="001D52A0">
        <w:rPr>
          <w:rFonts w:asciiTheme="minorHAnsi" w:hAnsiTheme="minorHAnsi" w:cs="Arial"/>
          <w:sz w:val="22"/>
          <w:szCs w:val="22"/>
        </w:rPr>
        <w:t>, an element of SERC costs</w:t>
      </w:r>
      <w:r w:rsidR="004B5CD2" w:rsidRPr="001D52A0">
        <w:rPr>
          <w:rFonts w:asciiTheme="minorHAnsi" w:hAnsiTheme="minorHAnsi" w:cs="Arial"/>
          <w:sz w:val="22"/>
          <w:szCs w:val="22"/>
        </w:rPr>
        <w:t xml:space="preserve"> etc) </w:t>
      </w:r>
      <w:r w:rsidR="00A27E1A" w:rsidRPr="001D52A0">
        <w:rPr>
          <w:rFonts w:asciiTheme="minorHAnsi" w:hAnsiTheme="minorHAnsi" w:cs="Arial"/>
          <w:sz w:val="22"/>
          <w:szCs w:val="22"/>
        </w:rPr>
        <w:t xml:space="preserve">apportioned </w:t>
      </w:r>
      <w:r w:rsidRPr="001D52A0">
        <w:rPr>
          <w:rFonts w:asciiTheme="minorHAnsi" w:hAnsiTheme="minorHAnsi" w:cs="Arial"/>
          <w:sz w:val="22"/>
          <w:szCs w:val="22"/>
        </w:rPr>
        <w:t xml:space="preserve">on the basis of boroughs </w:t>
      </w:r>
      <w:r w:rsidR="00784045" w:rsidRPr="001D52A0">
        <w:rPr>
          <w:rFonts w:asciiTheme="minorHAnsi" w:hAnsiTheme="minorHAnsi" w:cs="Arial"/>
          <w:sz w:val="22"/>
          <w:szCs w:val="22"/>
        </w:rPr>
        <w:t xml:space="preserve">tax base from their </w:t>
      </w:r>
      <w:r w:rsidR="00427FBD" w:rsidRPr="001D52A0">
        <w:rPr>
          <w:rFonts w:asciiTheme="minorHAnsi" w:hAnsiTheme="minorHAnsi" w:cs="Arial"/>
          <w:sz w:val="22"/>
          <w:szCs w:val="22"/>
        </w:rPr>
        <w:t xml:space="preserve">final approved </w:t>
      </w:r>
      <w:r w:rsidRPr="001D52A0">
        <w:rPr>
          <w:rFonts w:asciiTheme="minorHAnsi" w:hAnsiTheme="minorHAnsi" w:cs="Arial"/>
          <w:sz w:val="22"/>
          <w:szCs w:val="22"/>
        </w:rPr>
        <w:t>CTB1</w:t>
      </w:r>
      <w:r w:rsidR="00784045" w:rsidRPr="001D52A0">
        <w:rPr>
          <w:rFonts w:asciiTheme="minorHAnsi" w:hAnsiTheme="minorHAnsi" w:cs="Arial"/>
          <w:sz w:val="22"/>
          <w:szCs w:val="22"/>
        </w:rPr>
        <w:t xml:space="preserve"> returns</w:t>
      </w:r>
      <w:r w:rsidR="00427FBD" w:rsidRPr="001D52A0">
        <w:rPr>
          <w:rFonts w:asciiTheme="minorHAnsi" w:hAnsiTheme="minorHAnsi" w:cs="Arial"/>
          <w:sz w:val="22"/>
          <w:szCs w:val="22"/>
        </w:rPr>
        <w:t>.</w:t>
      </w:r>
    </w:p>
    <w:p w14:paraId="63BCD6EE" w14:textId="77777777" w:rsidR="00734980" w:rsidRPr="001D52A0" w:rsidRDefault="00485857" w:rsidP="00485857">
      <w:pPr>
        <w:autoSpaceDE w:val="0"/>
        <w:autoSpaceDN w:val="0"/>
        <w:adjustRightInd w:val="0"/>
        <w:spacing w:after="120"/>
        <w:ind w:left="607"/>
        <w:jc w:val="both"/>
        <w:rPr>
          <w:rFonts w:asciiTheme="minorHAnsi" w:hAnsiTheme="minorHAnsi" w:cs="Arial"/>
          <w:sz w:val="22"/>
          <w:szCs w:val="22"/>
        </w:rPr>
      </w:pPr>
      <w:r w:rsidRPr="001D52A0">
        <w:rPr>
          <w:rFonts w:asciiTheme="minorHAnsi" w:hAnsiTheme="minorHAnsi" w:cs="Arial"/>
          <w:sz w:val="22"/>
          <w:szCs w:val="22"/>
        </w:rPr>
        <w:t xml:space="preserve">Details of these </w:t>
      </w:r>
      <w:r w:rsidR="00A45369" w:rsidRPr="001D52A0">
        <w:rPr>
          <w:rFonts w:asciiTheme="minorHAnsi" w:hAnsiTheme="minorHAnsi" w:cs="Arial"/>
          <w:sz w:val="22"/>
          <w:szCs w:val="22"/>
        </w:rPr>
        <w:t>follow in the next two sections</w:t>
      </w:r>
      <w:r w:rsidRPr="001D52A0">
        <w:rPr>
          <w:rFonts w:asciiTheme="minorHAnsi" w:hAnsiTheme="minorHAnsi" w:cs="Arial"/>
          <w:sz w:val="22"/>
          <w:szCs w:val="22"/>
        </w:rPr>
        <w:t>.</w:t>
      </w:r>
      <w:r w:rsidR="00734980" w:rsidRPr="001D52A0">
        <w:rPr>
          <w:rFonts w:asciiTheme="minorHAnsi" w:hAnsiTheme="minorHAnsi" w:cs="Arial"/>
          <w:sz w:val="22"/>
          <w:szCs w:val="22"/>
        </w:rPr>
        <w:t xml:space="preserve"> </w:t>
      </w:r>
    </w:p>
    <w:p w14:paraId="5E8E45BF" w14:textId="77777777" w:rsidR="003A1963" w:rsidRPr="001D52A0" w:rsidRDefault="003A1963" w:rsidP="004E4209">
      <w:pPr>
        <w:numPr>
          <w:ilvl w:val="0"/>
          <w:numId w:val="21"/>
        </w:numPr>
        <w:autoSpaceDE w:val="0"/>
        <w:autoSpaceDN w:val="0"/>
        <w:adjustRightInd w:val="0"/>
        <w:spacing w:before="240" w:after="120"/>
        <w:jc w:val="both"/>
        <w:rPr>
          <w:rFonts w:asciiTheme="minorHAnsi" w:hAnsiTheme="minorHAnsi" w:cs="Arial"/>
          <w:b/>
          <w:sz w:val="22"/>
          <w:szCs w:val="22"/>
        </w:rPr>
      </w:pPr>
      <w:r w:rsidRPr="001D52A0">
        <w:rPr>
          <w:rFonts w:asciiTheme="minorHAnsi" w:hAnsiTheme="minorHAnsi" w:cs="Arial"/>
          <w:b/>
          <w:sz w:val="22"/>
          <w:szCs w:val="22"/>
        </w:rPr>
        <w:t>PAYT Levy Income</w:t>
      </w:r>
    </w:p>
    <w:p w14:paraId="13168FB3" w14:textId="1834C0DB" w:rsidR="00485857" w:rsidRPr="001D52A0" w:rsidRDefault="00485857" w:rsidP="004E4209">
      <w:pPr>
        <w:numPr>
          <w:ilvl w:val="1"/>
          <w:numId w:val="21"/>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 xml:space="preserve">As identified above the PAYT </w:t>
      </w:r>
      <w:r w:rsidR="00A45369" w:rsidRPr="001D52A0">
        <w:rPr>
          <w:rFonts w:asciiTheme="minorHAnsi" w:hAnsiTheme="minorHAnsi" w:cs="Arial"/>
          <w:sz w:val="22"/>
          <w:szCs w:val="22"/>
        </w:rPr>
        <w:t xml:space="preserve">is </w:t>
      </w:r>
      <w:r w:rsidRPr="001D52A0">
        <w:rPr>
          <w:rFonts w:asciiTheme="minorHAnsi" w:hAnsiTheme="minorHAnsi" w:cs="Arial"/>
          <w:sz w:val="22"/>
          <w:szCs w:val="22"/>
        </w:rPr>
        <w:t xml:space="preserve">made up </w:t>
      </w:r>
      <w:r w:rsidR="00673C76" w:rsidRPr="001D52A0">
        <w:rPr>
          <w:rFonts w:asciiTheme="minorHAnsi" w:hAnsiTheme="minorHAnsi" w:cs="Arial"/>
          <w:sz w:val="22"/>
          <w:szCs w:val="22"/>
        </w:rPr>
        <w:t xml:space="preserve">of two components and therefore the PAYT levy </w:t>
      </w:r>
      <w:r w:rsidR="00A45369" w:rsidRPr="001D52A0">
        <w:rPr>
          <w:rFonts w:asciiTheme="minorHAnsi" w:hAnsiTheme="minorHAnsi" w:cs="Arial"/>
          <w:sz w:val="22"/>
          <w:szCs w:val="22"/>
        </w:rPr>
        <w:t xml:space="preserve">is </w:t>
      </w:r>
      <w:r w:rsidR="00673C76" w:rsidRPr="001D52A0">
        <w:rPr>
          <w:rFonts w:asciiTheme="minorHAnsi" w:hAnsiTheme="minorHAnsi" w:cs="Arial"/>
          <w:sz w:val="22"/>
          <w:szCs w:val="22"/>
        </w:rPr>
        <w:t>too.</w:t>
      </w:r>
      <w:r w:rsidR="00350FA6" w:rsidRPr="001D52A0">
        <w:rPr>
          <w:rFonts w:asciiTheme="minorHAnsi" w:hAnsiTheme="minorHAnsi" w:cs="Arial"/>
          <w:sz w:val="22"/>
          <w:szCs w:val="22"/>
        </w:rPr>
        <w:t xml:space="preserve"> Combined the PAYT levy will total £</w:t>
      </w:r>
      <w:r w:rsidR="00A45369" w:rsidRPr="001D52A0">
        <w:rPr>
          <w:rFonts w:asciiTheme="minorHAnsi" w:hAnsiTheme="minorHAnsi" w:cs="Arial"/>
          <w:sz w:val="22"/>
          <w:szCs w:val="22"/>
        </w:rPr>
        <w:t>5</w:t>
      </w:r>
      <w:r w:rsidR="00502F5A" w:rsidRPr="001D52A0">
        <w:rPr>
          <w:rFonts w:asciiTheme="minorHAnsi" w:hAnsiTheme="minorHAnsi" w:cs="Arial"/>
          <w:sz w:val="22"/>
          <w:szCs w:val="22"/>
        </w:rPr>
        <w:t>7</w:t>
      </w:r>
      <w:r w:rsidR="006E212F" w:rsidRPr="001D52A0">
        <w:rPr>
          <w:rFonts w:asciiTheme="minorHAnsi" w:hAnsiTheme="minorHAnsi" w:cs="Arial"/>
          <w:sz w:val="22"/>
          <w:szCs w:val="22"/>
        </w:rPr>
        <w:t>.</w:t>
      </w:r>
      <w:r w:rsidR="00502F5A" w:rsidRPr="001D52A0">
        <w:rPr>
          <w:rFonts w:asciiTheme="minorHAnsi" w:hAnsiTheme="minorHAnsi" w:cs="Arial"/>
          <w:sz w:val="22"/>
          <w:szCs w:val="22"/>
        </w:rPr>
        <w:t>3</w:t>
      </w:r>
      <w:r w:rsidR="00350FA6" w:rsidRPr="001D52A0">
        <w:rPr>
          <w:rFonts w:asciiTheme="minorHAnsi" w:hAnsiTheme="minorHAnsi" w:cs="Arial"/>
          <w:sz w:val="22"/>
          <w:szCs w:val="22"/>
        </w:rPr>
        <w:t xml:space="preserve"> million (from the table</w:t>
      </w:r>
      <w:r w:rsidR="004876DD" w:rsidRPr="001D52A0">
        <w:rPr>
          <w:rFonts w:asciiTheme="minorHAnsi" w:hAnsiTheme="minorHAnsi" w:cs="Arial"/>
          <w:sz w:val="22"/>
          <w:szCs w:val="22"/>
        </w:rPr>
        <w:t>s</w:t>
      </w:r>
      <w:r w:rsidR="00350FA6" w:rsidRPr="001D52A0">
        <w:rPr>
          <w:rFonts w:asciiTheme="minorHAnsi" w:hAnsiTheme="minorHAnsi" w:cs="Arial"/>
          <w:sz w:val="22"/>
          <w:szCs w:val="22"/>
        </w:rPr>
        <w:t xml:space="preserve"> above £4</w:t>
      </w:r>
      <w:r w:rsidR="00502F5A" w:rsidRPr="001D52A0">
        <w:rPr>
          <w:rFonts w:asciiTheme="minorHAnsi" w:hAnsiTheme="minorHAnsi" w:cs="Arial"/>
          <w:sz w:val="22"/>
          <w:szCs w:val="22"/>
        </w:rPr>
        <w:t>6.3</w:t>
      </w:r>
      <w:r w:rsidR="004876DD" w:rsidRPr="001D52A0">
        <w:rPr>
          <w:rFonts w:asciiTheme="minorHAnsi" w:hAnsiTheme="minorHAnsi" w:cs="Arial"/>
          <w:sz w:val="22"/>
          <w:szCs w:val="22"/>
        </w:rPr>
        <w:t xml:space="preserve"> million </w:t>
      </w:r>
      <w:r w:rsidR="00350FA6" w:rsidRPr="001D52A0">
        <w:rPr>
          <w:rFonts w:asciiTheme="minorHAnsi" w:hAnsiTheme="minorHAnsi" w:cs="Arial"/>
          <w:sz w:val="22"/>
          <w:szCs w:val="22"/>
        </w:rPr>
        <w:t>plus £</w:t>
      </w:r>
      <w:r w:rsidR="00502F5A" w:rsidRPr="001D52A0">
        <w:rPr>
          <w:rFonts w:asciiTheme="minorHAnsi" w:hAnsiTheme="minorHAnsi" w:cs="Arial"/>
          <w:sz w:val="22"/>
          <w:szCs w:val="22"/>
        </w:rPr>
        <w:t>11.0</w:t>
      </w:r>
      <w:r w:rsidR="004876DD" w:rsidRPr="001D52A0">
        <w:rPr>
          <w:rFonts w:asciiTheme="minorHAnsi" w:hAnsiTheme="minorHAnsi" w:cs="Arial"/>
          <w:sz w:val="22"/>
          <w:szCs w:val="22"/>
        </w:rPr>
        <w:t xml:space="preserve"> million</w:t>
      </w:r>
      <w:r w:rsidR="00350FA6" w:rsidRPr="001D52A0">
        <w:rPr>
          <w:rFonts w:asciiTheme="minorHAnsi" w:hAnsiTheme="minorHAnsi" w:cs="Arial"/>
          <w:sz w:val="22"/>
          <w:szCs w:val="22"/>
        </w:rPr>
        <w:t>).</w:t>
      </w:r>
    </w:p>
    <w:p w14:paraId="63937B4D" w14:textId="63D07FB6" w:rsidR="001C3CF2" w:rsidRDefault="00485857" w:rsidP="004E4209">
      <w:pPr>
        <w:numPr>
          <w:ilvl w:val="1"/>
          <w:numId w:val="21"/>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T</w:t>
      </w:r>
      <w:r w:rsidR="005A3C8A" w:rsidRPr="001D52A0">
        <w:rPr>
          <w:rFonts w:asciiTheme="minorHAnsi" w:hAnsiTheme="minorHAnsi" w:cs="Arial"/>
          <w:sz w:val="22"/>
          <w:szCs w:val="22"/>
        </w:rPr>
        <w:t xml:space="preserve">he </w:t>
      </w:r>
      <w:r w:rsidR="00E42E03" w:rsidRPr="001D52A0">
        <w:rPr>
          <w:rFonts w:asciiTheme="minorHAnsi" w:hAnsiTheme="minorHAnsi" w:cs="Arial"/>
          <w:sz w:val="22"/>
          <w:szCs w:val="22"/>
        </w:rPr>
        <w:t>t</w:t>
      </w:r>
      <w:r w:rsidR="009D10A4" w:rsidRPr="001D52A0">
        <w:rPr>
          <w:rFonts w:asciiTheme="minorHAnsi" w:hAnsiTheme="minorHAnsi" w:cs="Arial"/>
          <w:sz w:val="22"/>
          <w:szCs w:val="22"/>
        </w:rPr>
        <w:t>able</w:t>
      </w:r>
      <w:r w:rsidR="001C3CF2" w:rsidRPr="001D52A0">
        <w:rPr>
          <w:rFonts w:asciiTheme="minorHAnsi" w:hAnsiTheme="minorHAnsi" w:cs="Arial"/>
          <w:sz w:val="22"/>
          <w:szCs w:val="22"/>
        </w:rPr>
        <w:t xml:space="preserve"> below</w:t>
      </w:r>
      <w:r w:rsidR="00767AF9" w:rsidRPr="001D52A0">
        <w:rPr>
          <w:rFonts w:asciiTheme="minorHAnsi" w:hAnsiTheme="minorHAnsi" w:cs="Arial"/>
          <w:sz w:val="22"/>
          <w:szCs w:val="22"/>
        </w:rPr>
        <w:t xml:space="preserve"> </w:t>
      </w:r>
      <w:r w:rsidR="009D10A4" w:rsidRPr="001D52A0">
        <w:rPr>
          <w:rFonts w:asciiTheme="minorHAnsi" w:hAnsiTheme="minorHAnsi" w:cs="Arial"/>
          <w:sz w:val="22"/>
          <w:szCs w:val="22"/>
        </w:rPr>
        <w:t xml:space="preserve">shows the </w:t>
      </w:r>
      <w:r w:rsidR="00FA41DA" w:rsidRPr="001D52A0">
        <w:rPr>
          <w:rFonts w:asciiTheme="minorHAnsi" w:hAnsiTheme="minorHAnsi" w:cs="Arial"/>
          <w:sz w:val="22"/>
          <w:szCs w:val="22"/>
        </w:rPr>
        <w:t xml:space="preserve">proposed </w:t>
      </w:r>
      <w:r w:rsidR="00673C76" w:rsidRPr="001D52A0">
        <w:rPr>
          <w:rFonts w:asciiTheme="minorHAnsi" w:hAnsiTheme="minorHAnsi" w:cs="Arial"/>
          <w:sz w:val="22"/>
          <w:szCs w:val="22"/>
        </w:rPr>
        <w:t>disposal</w:t>
      </w:r>
      <w:r w:rsidR="009D10A4" w:rsidRPr="001D52A0">
        <w:rPr>
          <w:rFonts w:asciiTheme="minorHAnsi" w:hAnsiTheme="minorHAnsi" w:cs="Arial"/>
          <w:sz w:val="22"/>
          <w:szCs w:val="22"/>
        </w:rPr>
        <w:t xml:space="preserve"> rates</w:t>
      </w:r>
      <w:r w:rsidR="001C3CF2" w:rsidRPr="001D52A0">
        <w:rPr>
          <w:rFonts w:asciiTheme="minorHAnsi" w:hAnsiTheme="minorHAnsi" w:cs="Arial"/>
          <w:sz w:val="22"/>
          <w:szCs w:val="22"/>
        </w:rPr>
        <w:t xml:space="preserve"> for </w:t>
      </w:r>
      <w:r w:rsidR="004B1FC2" w:rsidRPr="001D52A0">
        <w:rPr>
          <w:rFonts w:asciiTheme="minorHAnsi" w:hAnsiTheme="minorHAnsi" w:cs="Arial"/>
          <w:sz w:val="22"/>
          <w:szCs w:val="22"/>
        </w:rPr>
        <w:t xml:space="preserve">waste in </w:t>
      </w:r>
      <w:r w:rsidR="001C3CF2" w:rsidRPr="001D52A0">
        <w:rPr>
          <w:rFonts w:asciiTheme="minorHAnsi" w:hAnsiTheme="minorHAnsi" w:cs="Arial"/>
          <w:sz w:val="22"/>
          <w:szCs w:val="22"/>
        </w:rPr>
        <w:t>20</w:t>
      </w:r>
      <w:r w:rsidR="009C0E71" w:rsidRPr="001D52A0">
        <w:rPr>
          <w:rFonts w:asciiTheme="minorHAnsi" w:hAnsiTheme="minorHAnsi" w:cs="Arial"/>
          <w:sz w:val="22"/>
          <w:szCs w:val="22"/>
        </w:rPr>
        <w:t>2</w:t>
      </w:r>
      <w:r w:rsidR="00502F5A" w:rsidRPr="001D52A0">
        <w:rPr>
          <w:rFonts w:asciiTheme="minorHAnsi" w:hAnsiTheme="minorHAnsi" w:cs="Arial"/>
          <w:sz w:val="22"/>
          <w:szCs w:val="22"/>
        </w:rPr>
        <w:t>4/25</w:t>
      </w:r>
      <w:r w:rsidR="00673C76" w:rsidRPr="001D52A0">
        <w:rPr>
          <w:rFonts w:asciiTheme="minorHAnsi" w:hAnsiTheme="minorHAnsi" w:cs="Arial"/>
          <w:sz w:val="22"/>
          <w:szCs w:val="22"/>
        </w:rPr>
        <w:t>.</w:t>
      </w:r>
      <w:r w:rsidR="00422047" w:rsidRPr="001D52A0">
        <w:rPr>
          <w:rFonts w:asciiTheme="minorHAnsi" w:hAnsiTheme="minorHAnsi" w:cs="Arial"/>
          <w:sz w:val="22"/>
          <w:szCs w:val="22"/>
        </w:rPr>
        <w:tab/>
      </w:r>
    </w:p>
    <w:p w14:paraId="50C056BD" w14:textId="77777777" w:rsidR="00B31F70" w:rsidRPr="001D52A0" w:rsidRDefault="00B31F70" w:rsidP="00B31F70">
      <w:pPr>
        <w:autoSpaceDE w:val="0"/>
        <w:autoSpaceDN w:val="0"/>
        <w:adjustRightInd w:val="0"/>
        <w:spacing w:before="240" w:after="120"/>
        <w:ind w:left="465"/>
        <w:jc w:val="both"/>
        <w:rPr>
          <w:rFonts w:asciiTheme="minorHAnsi" w:hAnsiTheme="minorHAnsi" w:cs="Arial"/>
          <w:sz w:val="22"/>
          <w:szCs w:val="22"/>
        </w:rPr>
      </w:pPr>
    </w:p>
    <w:tbl>
      <w:tblPr>
        <w:tblW w:w="6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2"/>
        <w:gridCol w:w="1418"/>
        <w:gridCol w:w="1417"/>
      </w:tblGrid>
      <w:tr w:rsidR="00502F5A" w:rsidRPr="001D52A0" w14:paraId="695198DE" w14:textId="77777777" w:rsidTr="00502F5A">
        <w:trPr>
          <w:jc w:val="center"/>
        </w:trPr>
        <w:tc>
          <w:tcPr>
            <w:tcW w:w="3262" w:type="dxa"/>
            <w:shd w:val="clear" w:color="auto" w:fill="auto"/>
          </w:tcPr>
          <w:p w14:paraId="2BEE186F" w14:textId="77777777" w:rsidR="00502F5A" w:rsidRPr="001D52A0" w:rsidRDefault="00502F5A" w:rsidP="00502F5A">
            <w:pPr>
              <w:rPr>
                <w:rFonts w:asciiTheme="minorHAnsi" w:hAnsiTheme="minorHAnsi" w:cs="Arial"/>
                <w:b/>
                <w:sz w:val="22"/>
                <w:szCs w:val="22"/>
              </w:rPr>
            </w:pPr>
            <w:r w:rsidRPr="001D52A0">
              <w:rPr>
                <w:rFonts w:asciiTheme="minorHAnsi" w:hAnsiTheme="minorHAnsi" w:cs="Arial"/>
                <w:b/>
                <w:sz w:val="22"/>
                <w:szCs w:val="22"/>
              </w:rPr>
              <w:lastRenderedPageBreak/>
              <w:t>Material (Disposal)</w:t>
            </w:r>
          </w:p>
        </w:tc>
        <w:tc>
          <w:tcPr>
            <w:tcW w:w="1418" w:type="dxa"/>
          </w:tcPr>
          <w:p w14:paraId="2578E407" w14:textId="69CD0FF0" w:rsidR="00502F5A" w:rsidRPr="001D52A0" w:rsidRDefault="00502F5A" w:rsidP="00502F5A">
            <w:pPr>
              <w:jc w:val="right"/>
              <w:rPr>
                <w:rFonts w:asciiTheme="minorHAnsi" w:hAnsiTheme="minorHAnsi" w:cs="Arial"/>
                <w:b/>
                <w:sz w:val="22"/>
                <w:szCs w:val="22"/>
              </w:rPr>
            </w:pPr>
            <w:r w:rsidRPr="001D52A0">
              <w:rPr>
                <w:rFonts w:asciiTheme="minorHAnsi" w:hAnsiTheme="minorHAnsi" w:cs="Arial"/>
                <w:b/>
                <w:sz w:val="22"/>
                <w:szCs w:val="22"/>
              </w:rPr>
              <w:t>2023/24 £ per tonne</w:t>
            </w:r>
          </w:p>
        </w:tc>
        <w:tc>
          <w:tcPr>
            <w:tcW w:w="1417" w:type="dxa"/>
            <w:shd w:val="clear" w:color="auto" w:fill="auto"/>
          </w:tcPr>
          <w:p w14:paraId="7F75E7FC" w14:textId="63BE9B7C" w:rsidR="00502F5A" w:rsidRPr="001D52A0" w:rsidRDefault="00502F5A" w:rsidP="00502F5A">
            <w:pPr>
              <w:jc w:val="right"/>
              <w:rPr>
                <w:rFonts w:asciiTheme="minorHAnsi" w:hAnsiTheme="minorHAnsi" w:cs="Arial"/>
                <w:b/>
                <w:sz w:val="22"/>
                <w:szCs w:val="22"/>
              </w:rPr>
            </w:pPr>
            <w:r w:rsidRPr="001D52A0">
              <w:rPr>
                <w:rFonts w:asciiTheme="minorHAnsi" w:hAnsiTheme="minorHAnsi" w:cs="Arial"/>
                <w:b/>
                <w:sz w:val="22"/>
                <w:szCs w:val="22"/>
              </w:rPr>
              <w:t>2024/25 £ per tonne</w:t>
            </w:r>
          </w:p>
        </w:tc>
      </w:tr>
      <w:tr w:rsidR="00502F5A" w:rsidRPr="001D52A0" w14:paraId="252FA1A6" w14:textId="77777777" w:rsidTr="00502F5A">
        <w:trPr>
          <w:jc w:val="center"/>
        </w:trPr>
        <w:tc>
          <w:tcPr>
            <w:tcW w:w="3262" w:type="dxa"/>
            <w:shd w:val="clear" w:color="auto" w:fill="auto"/>
          </w:tcPr>
          <w:p w14:paraId="7A627342" w14:textId="77777777" w:rsidR="00502F5A" w:rsidRPr="001D52A0" w:rsidRDefault="00502F5A" w:rsidP="00502F5A">
            <w:pPr>
              <w:rPr>
                <w:rFonts w:asciiTheme="minorHAnsi" w:hAnsiTheme="minorHAnsi" w:cs="Arial"/>
                <w:sz w:val="22"/>
                <w:szCs w:val="22"/>
              </w:rPr>
            </w:pPr>
            <w:r w:rsidRPr="001D52A0">
              <w:rPr>
                <w:rFonts w:asciiTheme="minorHAnsi" w:hAnsiTheme="minorHAnsi" w:cs="Arial"/>
                <w:sz w:val="22"/>
                <w:szCs w:val="22"/>
              </w:rPr>
              <w:t>Residual</w:t>
            </w:r>
          </w:p>
        </w:tc>
        <w:tc>
          <w:tcPr>
            <w:tcW w:w="1418" w:type="dxa"/>
          </w:tcPr>
          <w:p w14:paraId="42C56A3D" w14:textId="7AE96A03" w:rsidR="00502F5A" w:rsidRPr="001D52A0" w:rsidRDefault="00502F5A" w:rsidP="00502F5A">
            <w:pPr>
              <w:jc w:val="right"/>
              <w:rPr>
                <w:rFonts w:asciiTheme="minorHAnsi" w:hAnsiTheme="minorHAnsi" w:cs="Arial"/>
                <w:sz w:val="22"/>
                <w:szCs w:val="22"/>
              </w:rPr>
            </w:pPr>
            <w:r w:rsidRPr="001D52A0">
              <w:rPr>
                <w:rFonts w:asciiTheme="minorHAnsi" w:hAnsiTheme="minorHAnsi" w:cs="Arial"/>
                <w:sz w:val="22"/>
                <w:szCs w:val="22"/>
              </w:rPr>
              <w:t>109.76</w:t>
            </w:r>
          </w:p>
        </w:tc>
        <w:tc>
          <w:tcPr>
            <w:tcW w:w="1417" w:type="dxa"/>
            <w:shd w:val="clear" w:color="auto" w:fill="auto"/>
          </w:tcPr>
          <w:p w14:paraId="68C6942E" w14:textId="285927F7" w:rsidR="00502F5A" w:rsidRPr="001D52A0" w:rsidRDefault="00502F5A" w:rsidP="00502F5A">
            <w:pPr>
              <w:jc w:val="right"/>
              <w:rPr>
                <w:rFonts w:asciiTheme="minorHAnsi" w:hAnsiTheme="minorHAnsi" w:cs="Arial"/>
                <w:sz w:val="22"/>
                <w:szCs w:val="22"/>
              </w:rPr>
            </w:pPr>
            <w:r w:rsidRPr="001D52A0">
              <w:rPr>
                <w:rFonts w:asciiTheme="minorHAnsi" w:hAnsiTheme="minorHAnsi" w:cs="Arial"/>
                <w:sz w:val="22"/>
                <w:szCs w:val="22"/>
              </w:rPr>
              <w:t>114.60</w:t>
            </w:r>
          </w:p>
        </w:tc>
      </w:tr>
      <w:tr w:rsidR="00502F5A" w:rsidRPr="001D52A0" w14:paraId="2881C0F2" w14:textId="77777777" w:rsidTr="00502F5A">
        <w:trPr>
          <w:jc w:val="center"/>
        </w:trPr>
        <w:tc>
          <w:tcPr>
            <w:tcW w:w="3262" w:type="dxa"/>
            <w:shd w:val="clear" w:color="auto" w:fill="auto"/>
          </w:tcPr>
          <w:p w14:paraId="2F59173A" w14:textId="77777777" w:rsidR="00502F5A" w:rsidRPr="001D52A0" w:rsidRDefault="00502F5A" w:rsidP="00502F5A">
            <w:pPr>
              <w:rPr>
                <w:rFonts w:asciiTheme="minorHAnsi" w:hAnsiTheme="minorHAnsi" w:cs="Arial"/>
                <w:sz w:val="22"/>
                <w:szCs w:val="22"/>
              </w:rPr>
            </w:pPr>
            <w:r w:rsidRPr="001D52A0">
              <w:rPr>
                <w:rFonts w:asciiTheme="minorHAnsi" w:hAnsiTheme="minorHAnsi" w:cs="Arial"/>
                <w:sz w:val="22"/>
                <w:szCs w:val="22"/>
              </w:rPr>
              <w:t>Gully</w:t>
            </w:r>
          </w:p>
        </w:tc>
        <w:tc>
          <w:tcPr>
            <w:tcW w:w="1418" w:type="dxa"/>
          </w:tcPr>
          <w:p w14:paraId="75F24956" w14:textId="6794F0A5" w:rsidR="00502F5A" w:rsidRPr="001D52A0" w:rsidRDefault="00502F5A" w:rsidP="00502F5A">
            <w:pPr>
              <w:jc w:val="right"/>
              <w:rPr>
                <w:rFonts w:asciiTheme="minorHAnsi" w:hAnsiTheme="minorHAnsi" w:cs="Arial"/>
                <w:sz w:val="22"/>
                <w:szCs w:val="22"/>
              </w:rPr>
            </w:pPr>
            <w:r w:rsidRPr="001D52A0">
              <w:rPr>
                <w:rFonts w:asciiTheme="minorHAnsi" w:hAnsiTheme="minorHAnsi" w:cs="Arial"/>
                <w:sz w:val="22"/>
                <w:szCs w:val="22"/>
              </w:rPr>
              <w:t>67.31</w:t>
            </w:r>
          </w:p>
        </w:tc>
        <w:tc>
          <w:tcPr>
            <w:tcW w:w="1417" w:type="dxa"/>
            <w:shd w:val="clear" w:color="auto" w:fill="auto"/>
          </w:tcPr>
          <w:p w14:paraId="3D05F481" w14:textId="661B2F68" w:rsidR="00502F5A" w:rsidRPr="001D52A0" w:rsidRDefault="00502F5A" w:rsidP="00502F5A">
            <w:pPr>
              <w:jc w:val="right"/>
              <w:rPr>
                <w:rFonts w:asciiTheme="minorHAnsi" w:hAnsiTheme="minorHAnsi" w:cs="Arial"/>
                <w:sz w:val="22"/>
                <w:szCs w:val="22"/>
              </w:rPr>
            </w:pPr>
            <w:r w:rsidRPr="001D52A0">
              <w:rPr>
                <w:rFonts w:asciiTheme="minorHAnsi" w:hAnsiTheme="minorHAnsi" w:cs="Arial"/>
                <w:sz w:val="22"/>
                <w:szCs w:val="22"/>
              </w:rPr>
              <w:t>71.69</w:t>
            </w:r>
          </w:p>
        </w:tc>
      </w:tr>
      <w:tr w:rsidR="00502F5A" w:rsidRPr="001D52A0" w14:paraId="5BB05D33" w14:textId="77777777" w:rsidTr="00502F5A">
        <w:trPr>
          <w:jc w:val="center"/>
        </w:trPr>
        <w:tc>
          <w:tcPr>
            <w:tcW w:w="3262" w:type="dxa"/>
            <w:shd w:val="clear" w:color="auto" w:fill="auto"/>
          </w:tcPr>
          <w:p w14:paraId="14D3D3B7" w14:textId="77777777" w:rsidR="00502F5A" w:rsidRPr="001D52A0" w:rsidRDefault="00502F5A" w:rsidP="00502F5A">
            <w:pPr>
              <w:rPr>
                <w:rFonts w:asciiTheme="minorHAnsi" w:hAnsiTheme="minorHAnsi" w:cs="Arial"/>
                <w:sz w:val="22"/>
                <w:szCs w:val="22"/>
              </w:rPr>
            </w:pPr>
            <w:r w:rsidRPr="001D52A0">
              <w:rPr>
                <w:rFonts w:asciiTheme="minorHAnsi" w:hAnsiTheme="minorHAnsi" w:cs="Arial"/>
                <w:sz w:val="22"/>
                <w:szCs w:val="22"/>
              </w:rPr>
              <w:t>Food</w:t>
            </w:r>
          </w:p>
        </w:tc>
        <w:tc>
          <w:tcPr>
            <w:tcW w:w="1418" w:type="dxa"/>
          </w:tcPr>
          <w:p w14:paraId="3B4F66A5" w14:textId="57E0D803" w:rsidR="00502F5A" w:rsidRPr="001D52A0" w:rsidRDefault="00502F5A" w:rsidP="00502F5A">
            <w:pPr>
              <w:jc w:val="right"/>
              <w:rPr>
                <w:rFonts w:asciiTheme="minorHAnsi" w:hAnsiTheme="minorHAnsi" w:cs="Arial"/>
                <w:sz w:val="22"/>
                <w:szCs w:val="22"/>
              </w:rPr>
            </w:pPr>
            <w:r w:rsidRPr="001D52A0">
              <w:rPr>
                <w:rFonts w:asciiTheme="minorHAnsi" w:hAnsiTheme="minorHAnsi" w:cs="Arial"/>
                <w:sz w:val="22"/>
                <w:szCs w:val="22"/>
              </w:rPr>
              <w:t>11.61</w:t>
            </w:r>
          </w:p>
        </w:tc>
        <w:tc>
          <w:tcPr>
            <w:tcW w:w="1417" w:type="dxa"/>
            <w:shd w:val="clear" w:color="auto" w:fill="auto"/>
          </w:tcPr>
          <w:p w14:paraId="1A08B910" w14:textId="4C968998" w:rsidR="00502F5A" w:rsidRPr="001D52A0" w:rsidRDefault="00502F5A" w:rsidP="00502F5A">
            <w:pPr>
              <w:jc w:val="right"/>
              <w:rPr>
                <w:rFonts w:asciiTheme="minorHAnsi" w:hAnsiTheme="minorHAnsi" w:cs="Arial"/>
                <w:sz w:val="22"/>
                <w:szCs w:val="22"/>
              </w:rPr>
            </w:pPr>
            <w:r w:rsidRPr="001D52A0">
              <w:rPr>
                <w:rFonts w:asciiTheme="minorHAnsi" w:hAnsiTheme="minorHAnsi" w:cs="Arial"/>
                <w:sz w:val="22"/>
                <w:szCs w:val="22"/>
              </w:rPr>
              <w:t>12.39</w:t>
            </w:r>
          </w:p>
        </w:tc>
      </w:tr>
      <w:tr w:rsidR="00502F5A" w:rsidRPr="001D52A0" w14:paraId="700B698A" w14:textId="77777777" w:rsidTr="00502F5A">
        <w:trPr>
          <w:jc w:val="center"/>
        </w:trPr>
        <w:tc>
          <w:tcPr>
            <w:tcW w:w="3262" w:type="dxa"/>
            <w:shd w:val="clear" w:color="auto" w:fill="auto"/>
          </w:tcPr>
          <w:p w14:paraId="17F444D2" w14:textId="77777777" w:rsidR="00502F5A" w:rsidRPr="001D52A0" w:rsidRDefault="00502F5A" w:rsidP="00502F5A">
            <w:pPr>
              <w:rPr>
                <w:rFonts w:asciiTheme="minorHAnsi" w:hAnsiTheme="minorHAnsi" w:cs="Arial"/>
                <w:sz w:val="22"/>
                <w:szCs w:val="22"/>
              </w:rPr>
            </w:pPr>
            <w:r w:rsidRPr="001D52A0">
              <w:rPr>
                <w:rFonts w:asciiTheme="minorHAnsi" w:hAnsiTheme="minorHAnsi" w:cs="Arial"/>
                <w:sz w:val="22"/>
                <w:szCs w:val="22"/>
              </w:rPr>
              <w:t>Green</w:t>
            </w:r>
          </w:p>
        </w:tc>
        <w:tc>
          <w:tcPr>
            <w:tcW w:w="1418" w:type="dxa"/>
          </w:tcPr>
          <w:p w14:paraId="541D54C7" w14:textId="67CBBE68" w:rsidR="00502F5A" w:rsidRPr="001D52A0" w:rsidRDefault="00502F5A" w:rsidP="00502F5A">
            <w:pPr>
              <w:jc w:val="right"/>
              <w:rPr>
                <w:rFonts w:asciiTheme="minorHAnsi" w:hAnsiTheme="minorHAnsi" w:cs="Arial"/>
                <w:sz w:val="22"/>
                <w:szCs w:val="22"/>
              </w:rPr>
            </w:pPr>
            <w:r w:rsidRPr="001D52A0">
              <w:rPr>
                <w:rFonts w:asciiTheme="minorHAnsi" w:hAnsiTheme="minorHAnsi" w:cs="Arial"/>
                <w:sz w:val="22"/>
                <w:szCs w:val="22"/>
              </w:rPr>
              <w:t>40.94</w:t>
            </w:r>
          </w:p>
        </w:tc>
        <w:tc>
          <w:tcPr>
            <w:tcW w:w="1417" w:type="dxa"/>
            <w:shd w:val="clear" w:color="auto" w:fill="auto"/>
          </w:tcPr>
          <w:p w14:paraId="6D18EB65" w14:textId="24B0721A" w:rsidR="00502F5A" w:rsidRPr="001D52A0" w:rsidRDefault="00502F5A" w:rsidP="00502F5A">
            <w:pPr>
              <w:jc w:val="right"/>
              <w:rPr>
                <w:rFonts w:asciiTheme="minorHAnsi" w:hAnsiTheme="minorHAnsi" w:cs="Arial"/>
                <w:sz w:val="22"/>
                <w:szCs w:val="22"/>
              </w:rPr>
            </w:pPr>
            <w:r w:rsidRPr="001D52A0">
              <w:rPr>
                <w:rFonts w:asciiTheme="minorHAnsi" w:hAnsiTheme="minorHAnsi" w:cs="Arial"/>
                <w:sz w:val="22"/>
                <w:szCs w:val="22"/>
              </w:rPr>
              <w:t>43.60</w:t>
            </w:r>
          </w:p>
        </w:tc>
      </w:tr>
      <w:tr w:rsidR="00502F5A" w:rsidRPr="001D52A0" w14:paraId="6CCA2887" w14:textId="77777777" w:rsidTr="00502F5A">
        <w:trPr>
          <w:jc w:val="center"/>
        </w:trPr>
        <w:tc>
          <w:tcPr>
            <w:tcW w:w="3262" w:type="dxa"/>
            <w:shd w:val="clear" w:color="auto" w:fill="auto"/>
          </w:tcPr>
          <w:p w14:paraId="00DCCA0C" w14:textId="77777777" w:rsidR="00502F5A" w:rsidRPr="001D52A0" w:rsidRDefault="00502F5A" w:rsidP="00502F5A">
            <w:pPr>
              <w:rPr>
                <w:rFonts w:asciiTheme="minorHAnsi" w:hAnsiTheme="minorHAnsi" w:cs="Arial"/>
                <w:sz w:val="22"/>
                <w:szCs w:val="22"/>
              </w:rPr>
            </w:pPr>
            <w:r w:rsidRPr="001D52A0">
              <w:rPr>
                <w:rFonts w:asciiTheme="minorHAnsi" w:hAnsiTheme="minorHAnsi" w:cs="Arial"/>
                <w:sz w:val="22"/>
                <w:szCs w:val="22"/>
              </w:rPr>
              <w:t>Wood</w:t>
            </w:r>
          </w:p>
        </w:tc>
        <w:tc>
          <w:tcPr>
            <w:tcW w:w="1418" w:type="dxa"/>
          </w:tcPr>
          <w:p w14:paraId="2E16CF29" w14:textId="0E549B63" w:rsidR="00502F5A" w:rsidRPr="001D52A0" w:rsidRDefault="00502F5A" w:rsidP="00502F5A">
            <w:pPr>
              <w:jc w:val="right"/>
              <w:rPr>
                <w:rFonts w:asciiTheme="minorHAnsi" w:hAnsiTheme="minorHAnsi" w:cs="Arial"/>
                <w:sz w:val="22"/>
                <w:szCs w:val="22"/>
              </w:rPr>
            </w:pPr>
            <w:r w:rsidRPr="001D52A0">
              <w:rPr>
                <w:rFonts w:asciiTheme="minorHAnsi" w:hAnsiTheme="minorHAnsi" w:cs="Arial"/>
                <w:sz w:val="22"/>
                <w:szCs w:val="22"/>
              </w:rPr>
              <w:t>67.67</w:t>
            </w:r>
          </w:p>
        </w:tc>
        <w:tc>
          <w:tcPr>
            <w:tcW w:w="1417" w:type="dxa"/>
            <w:shd w:val="clear" w:color="auto" w:fill="auto"/>
          </w:tcPr>
          <w:p w14:paraId="7C4E8ED3" w14:textId="7F17CEBD" w:rsidR="00502F5A" w:rsidRPr="001D52A0" w:rsidRDefault="00502F5A" w:rsidP="00502F5A">
            <w:pPr>
              <w:jc w:val="right"/>
              <w:rPr>
                <w:rFonts w:asciiTheme="minorHAnsi" w:hAnsiTheme="minorHAnsi" w:cs="Arial"/>
                <w:sz w:val="22"/>
                <w:szCs w:val="22"/>
              </w:rPr>
            </w:pPr>
            <w:r w:rsidRPr="001D52A0">
              <w:rPr>
                <w:rFonts w:asciiTheme="minorHAnsi" w:hAnsiTheme="minorHAnsi" w:cs="Arial"/>
                <w:sz w:val="22"/>
                <w:szCs w:val="22"/>
              </w:rPr>
              <w:t>79.34</w:t>
            </w:r>
          </w:p>
        </w:tc>
      </w:tr>
      <w:tr w:rsidR="00502F5A" w:rsidRPr="001D52A0" w14:paraId="4E6C107C" w14:textId="77777777" w:rsidTr="00502F5A">
        <w:trPr>
          <w:jc w:val="center"/>
        </w:trPr>
        <w:tc>
          <w:tcPr>
            <w:tcW w:w="3262" w:type="dxa"/>
            <w:shd w:val="clear" w:color="auto" w:fill="auto"/>
          </w:tcPr>
          <w:p w14:paraId="2281AC9E" w14:textId="77777777" w:rsidR="00502F5A" w:rsidRPr="001D52A0" w:rsidRDefault="00502F5A" w:rsidP="00502F5A">
            <w:pPr>
              <w:rPr>
                <w:rFonts w:asciiTheme="minorHAnsi" w:hAnsiTheme="minorHAnsi" w:cs="Arial"/>
                <w:sz w:val="22"/>
                <w:szCs w:val="22"/>
              </w:rPr>
            </w:pPr>
            <w:r w:rsidRPr="001D52A0">
              <w:rPr>
                <w:rFonts w:asciiTheme="minorHAnsi" w:hAnsiTheme="minorHAnsi" w:cs="Arial"/>
                <w:sz w:val="22"/>
                <w:szCs w:val="22"/>
              </w:rPr>
              <w:t>Rubble</w:t>
            </w:r>
          </w:p>
        </w:tc>
        <w:tc>
          <w:tcPr>
            <w:tcW w:w="1418" w:type="dxa"/>
          </w:tcPr>
          <w:p w14:paraId="3A4B0D4C" w14:textId="5ED9E540" w:rsidR="00502F5A" w:rsidRPr="001D52A0" w:rsidRDefault="00502F5A" w:rsidP="00502F5A">
            <w:pPr>
              <w:jc w:val="right"/>
              <w:rPr>
                <w:rFonts w:asciiTheme="minorHAnsi" w:hAnsiTheme="minorHAnsi" w:cs="Arial"/>
                <w:sz w:val="22"/>
                <w:szCs w:val="22"/>
              </w:rPr>
            </w:pPr>
            <w:r w:rsidRPr="001D52A0">
              <w:rPr>
                <w:rFonts w:asciiTheme="minorHAnsi" w:hAnsiTheme="minorHAnsi" w:cs="Arial"/>
                <w:sz w:val="22"/>
                <w:szCs w:val="22"/>
              </w:rPr>
              <w:t>32.63</w:t>
            </w:r>
          </w:p>
        </w:tc>
        <w:tc>
          <w:tcPr>
            <w:tcW w:w="1417" w:type="dxa"/>
            <w:shd w:val="clear" w:color="auto" w:fill="auto"/>
          </w:tcPr>
          <w:p w14:paraId="0ACF513C" w14:textId="23C0ABB2" w:rsidR="00502F5A" w:rsidRPr="001D52A0" w:rsidRDefault="00502F5A" w:rsidP="00502F5A">
            <w:pPr>
              <w:jc w:val="right"/>
              <w:rPr>
                <w:rFonts w:asciiTheme="minorHAnsi" w:hAnsiTheme="minorHAnsi" w:cs="Arial"/>
                <w:sz w:val="22"/>
                <w:szCs w:val="22"/>
              </w:rPr>
            </w:pPr>
            <w:r w:rsidRPr="001D52A0">
              <w:rPr>
                <w:rFonts w:asciiTheme="minorHAnsi" w:hAnsiTheme="minorHAnsi" w:cs="Arial"/>
                <w:sz w:val="22"/>
                <w:szCs w:val="22"/>
              </w:rPr>
              <w:t>47.82</w:t>
            </w:r>
          </w:p>
        </w:tc>
      </w:tr>
      <w:tr w:rsidR="00502F5A" w:rsidRPr="001D52A0" w14:paraId="5EEC63F3" w14:textId="77777777" w:rsidTr="00502F5A">
        <w:trPr>
          <w:jc w:val="center"/>
        </w:trPr>
        <w:tc>
          <w:tcPr>
            <w:tcW w:w="3262" w:type="dxa"/>
            <w:shd w:val="clear" w:color="auto" w:fill="auto"/>
          </w:tcPr>
          <w:p w14:paraId="22C14CE6" w14:textId="77777777" w:rsidR="00502F5A" w:rsidRPr="001D52A0" w:rsidRDefault="00502F5A" w:rsidP="00502F5A">
            <w:pPr>
              <w:rPr>
                <w:rFonts w:asciiTheme="minorHAnsi" w:hAnsiTheme="minorHAnsi" w:cs="Arial"/>
                <w:sz w:val="22"/>
                <w:szCs w:val="22"/>
              </w:rPr>
            </w:pPr>
            <w:r w:rsidRPr="001D52A0">
              <w:rPr>
                <w:rFonts w:asciiTheme="minorHAnsi" w:hAnsiTheme="minorHAnsi" w:cs="Arial"/>
                <w:sz w:val="22"/>
                <w:szCs w:val="22"/>
              </w:rPr>
              <w:t>Soil</w:t>
            </w:r>
          </w:p>
        </w:tc>
        <w:tc>
          <w:tcPr>
            <w:tcW w:w="1418" w:type="dxa"/>
          </w:tcPr>
          <w:p w14:paraId="6C0D709F" w14:textId="683CC29B" w:rsidR="00502F5A" w:rsidRPr="001D52A0" w:rsidRDefault="00502F5A" w:rsidP="00502F5A">
            <w:pPr>
              <w:jc w:val="right"/>
              <w:rPr>
                <w:rFonts w:asciiTheme="minorHAnsi" w:hAnsiTheme="minorHAnsi" w:cs="Arial"/>
                <w:sz w:val="22"/>
                <w:szCs w:val="22"/>
              </w:rPr>
            </w:pPr>
            <w:r w:rsidRPr="001D52A0">
              <w:rPr>
                <w:rFonts w:asciiTheme="minorHAnsi" w:hAnsiTheme="minorHAnsi" w:cs="Arial"/>
                <w:sz w:val="22"/>
                <w:szCs w:val="22"/>
              </w:rPr>
              <w:t>32.63</w:t>
            </w:r>
          </w:p>
        </w:tc>
        <w:tc>
          <w:tcPr>
            <w:tcW w:w="1417" w:type="dxa"/>
            <w:shd w:val="clear" w:color="auto" w:fill="auto"/>
          </w:tcPr>
          <w:p w14:paraId="32C8DDA9" w14:textId="633C1DEF" w:rsidR="00502F5A" w:rsidRPr="001D52A0" w:rsidRDefault="00502F5A" w:rsidP="00502F5A">
            <w:pPr>
              <w:jc w:val="right"/>
              <w:rPr>
                <w:rFonts w:asciiTheme="minorHAnsi" w:hAnsiTheme="minorHAnsi" w:cs="Arial"/>
                <w:sz w:val="22"/>
                <w:szCs w:val="22"/>
              </w:rPr>
            </w:pPr>
            <w:r w:rsidRPr="001D52A0">
              <w:rPr>
                <w:rFonts w:asciiTheme="minorHAnsi" w:hAnsiTheme="minorHAnsi" w:cs="Arial"/>
                <w:sz w:val="22"/>
                <w:szCs w:val="22"/>
              </w:rPr>
              <w:t>47.82</w:t>
            </w:r>
          </w:p>
        </w:tc>
      </w:tr>
      <w:tr w:rsidR="00502F5A" w:rsidRPr="001D52A0" w14:paraId="7725B3A5" w14:textId="77777777" w:rsidTr="00502F5A">
        <w:trPr>
          <w:jc w:val="center"/>
        </w:trPr>
        <w:tc>
          <w:tcPr>
            <w:tcW w:w="3262" w:type="dxa"/>
            <w:shd w:val="clear" w:color="auto" w:fill="auto"/>
          </w:tcPr>
          <w:p w14:paraId="2DC34D07" w14:textId="77777777" w:rsidR="00502F5A" w:rsidRPr="001D52A0" w:rsidRDefault="00502F5A" w:rsidP="00502F5A">
            <w:pPr>
              <w:rPr>
                <w:rFonts w:asciiTheme="minorHAnsi" w:hAnsiTheme="minorHAnsi" w:cs="Arial"/>
                <w:sz w:val="22"/>
                <w:szCs w:val="22"/>
              </w:rPr>
            </w:pPr>
            <w:r w:rsidRPr="001D52A0">
              <w:rPr>
                <w:rFonts w:asciiTheme="minorHAnsi" w:hAnsiTheme="minorHAnsi" w:cs="Arial"/>
                <w:sz w:val="22"/>
                <w:szCs w:val="22"/>
              </w:rPr>
              <w:t>Mattresses (per mattress)</w:t>
            </w:r>
          </w:p>
        </w:tc>
        <w:tc>
          <w:tcPr>
            <w:tcW w:w="1418" w:type="dxa"/>
          </w:tcPr>
          <w:p w14:paraId="3D0B1B8D" w14:textId="7E02A5E5" w:rsidR="00502F5A" w:rsidRPr="001D52A0" w:rsidRDefault="00502F5A" w:rsidP="00502F5A">
            <w:pPr>
              <w:jc w:val="right"/>
              <w:rPr>
                <w:rFonts w:asciiTheme="minorHAnsi" w:hAnsiTheme="minorHAnsi" w:cs="Arial"/>
                <w:sz w:val="22"/>
                <w:szCs w:val="22"/>
              </w:rPr>
            </w:pPr>
            <w:r w:rsidRPr="001D52A0">
              <w:rPr>
                <w:rFonts w:asciiTheme="minorHAnsi" w:hAnsiTheme="minorHAnsi" w:cs="Arial"/>
                <w:sz w:val="22"/>
                <w:szCs w:val="22"/>
              </w:rPr>
              <w:t>5.46</w:t>
            </w:r>
          </w:p>
        </w:tc>
        <w:tc>
          <w:tcPr>
            <w:tcW w:w="1417" w:type="dxa"/>
            <w:shd w:val="clear" w:color="auto" w:fill="auto"/>
          </w:tcPr>
          <w:p w14:paraId="0BE1F94D" w14:textId="3CB87340" w:rsidR="00502F5A" w:rsidRPr="001D52A0" w:rsidRDefault="00502F5A" w:rsidP="00502F5A">
            <w:pPr>
              <w:jc w:val="right"/>
              <w:rPr>
                <w:rFonts w:asciiTheme="minorHAnsi" w:hAnsiTheme="minorHAnsi" w:cs="Arial"/>
                <w:sz w:val="22"/>
                <w:szCs w:val="22"/>
              </w:rPr>
            </w:pPr>
            <w:r w:rsidRPr="001D52A0">
              <w:rPr>
                <w:rFonts w:asciiTheme="minorHAnsi" w:hAnsiTheme="minorHAnsi" w:cs="Arial"/>
                <w:sz w:val="22"/>
                <w:szCs w:val="22"/>
              </w:rPr>
              <w:t>7.54</w:t>
            </w:r>
          </w:p>
        </w:tc>
      </w:tr>
    </w:tbl>
    <w:p w14:paraId="7C69B560" w14:textId="77777777" w:rsidR="00C80883" w:rsidRPr="001D52A0" w:rsidRDefault="00C80883" w:rsidP="004E4209">
      <w:pPr>
        <w:numPr>
          <w:ilvl w:val="1"/>
          <w:numId w:val="21"/>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In addition to this, the Authority manages non-household waste from HRRC sites and incurs transport costs. On a similar basis the average transport charges are provided below.</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464"/>
        <w:gridCol w:w="1464"/>
      </w:tblGrid>
      <w:tr w:rsidR="00502F5A" w:rsidRPr="001D52A0" w14:paraId="52BEB623" w14:textId="77777777" w:rsidTr="000F5313">
        <w:tc>
          <w:tcPr>
            <w:tcW w:w="4395" w:type="dxa"/>
            <w:shd w:val="clear" w:color="auto" w:fill="auto"/>
          </w:tcPr>
          <w:p w14:paraId="7E602E90" w14:textId="77777777" w:rsidR="00502F5A" w:rsidRPr="001D52A0" w:rsidRDefault="00502F5A" w:rsidP="00502F5A">
            <w:pPr>
              <w:rPr>
                <w:rFonts w:asciiTheme="minorHAnsi" w:hAnsiTheme="minorHAnsi" w:cs="Arial"/>
                <w:b/>
                <w:sz w:val="22"/>
                <w:szCs w:val="22"/>
              </w:rPr>
            </w:pPr>
            <w:r w:rsidRPr="001D52A0">
              <w:rPr>
                <w:rFonts w:asciiTheme="minorHAnsi" w:hAnsiTheme="minorHAnsi" w:cs="Arial"/>
                <w:b/>
                <w:sz w:val="22"/>
                <w:szCs w:val="22"/>
              </w:rPr>
              <w:t>Material (Transport)</w:t>
            </w:r>
          </w:p>
        </w:tc>
        <w:tc>
          <w:tcPr>
            <w:tcW w:w="1464" w:type="dxa"/>
          </w:tcPr>
          <w:p w14:paraId="69BB9288" w14:textId="48DF34C4" w:rsidR="00502F5A" w:rsidRPr="001D52A0" w:rsidRDefault="00502F5A" w:rsidP="00502F5A">
            <w:pPr>
              <w:jc w:val="right"/>
              <w:rPr>
                <w:rFonts w:asciiTheme="minorHAnsi" w:hAnsiTheme="minorHAnsi" w:cs="Arial"/>
                <w:b/>
                <w:sz w:val="22"/>
                <w:szCs w:val="22"/>
              </w:rPr>
            </w:pPr>
            <w:r w:rsidRPr="001D52A0">
              <w:rPr>
                <w:rFonts w:asciiTheme="minorHAnsi" w:hAnsiTheme="minorHAnsi" w:cs="Arial"/>
                <w:b/>
                <w:sz w:val="22"/>
                <w:szCs w:val="22"/>
              </w:rPr>
              <w:t>2023/24 £ per tonne</w:t>
            </w:r>
          </w:p>
        </w:tc>
        <w:tc>
          <w:tcPr>
            <w:tcW w:w="1464" w:type="dxa"/>
            <w:shd w:val="clear" w:color="auto" w:fill="auto"/>
          </w:tcPr>
          <w:p w14:paraId="27646D38" w14:textId="51D31F3F" w:rsidR="00502F5A" w:rsidRPr="001D52A0" w:rsidRDefault="00502F5A" w:rsidP="00502F5A">
            <w:pPr>
              <w:jc w:val="right"/>
              <w:rPr>
                <w:rFonts w:asciiTheme="minorHAnsi" w:hAnsiTheme="minorHAnsi" w:cs="Arial"/>
                <w:b/>
                <w:sz w:val="22"/>
                <w:szCs w:val="22"/>
              </w:rPr>
            </w:pPr>
            <w:r w:rsidRPr="001D52A0">
              <w:rPr>
                <w:rFonts w:asciiTheme="minorHAnsi" w:hAnsiTheme="minorHAnsi" w:cs="Arial"/>
                <w:b/>
                <w:sz w:val="22"/>
                <w:szCs w:val="22"/>
              </w:rPr>
              <w:t>2024/25 £ per tonne</w:t>
            </w:r>
          </w:p>
        </w:tc>
      </w:tr>
      <w:tr w:rsidR="00502F5A" w:rsidRPr="001D52A0" w14:paraId="7102E357" w14:textId="77777777" w:rsidTr="000F5313">
        <w:tc>
          <w:tcPr>
            <w:tcW w:w="4395" w:type="dxa"/>
            <w:shd w:val="clear" w:color="auto" w:fill="auto"/>
          </w:tcPr>
          <w:p w14:paraId="795E50C7" w14:textId="77777777" w:rsidR="00502F5A" w:rsidRPr="001D52A0" w:rsidRDefault="00502F5A" w:rsidP="00502F5A">
            <w:pPr>
              <w:rPr>
                <w:rFonts w:asciiTheme="minorHAnsi" w:hAnsiTheme="minorHAnsi" w:cs="Arial"/>
                <w:sz w:val="22"/>
                <w:szCs w:val="22"/>
              </w:rPr>
            </w:pPr>
            <w:r w:rsidRPr="001D52A0">
              <w:rPr>
                <w:rFonts w:asciiTheme="minorHAnsi" w:hAnsiTheme="minorHAnsi" w:cs="Arial"/>
                <w:sz w:val="22"/>
                <w:szCs w:val="22"/>
              </w:rPr>
              <w:t>Residual (collected)</w:t>
            </w:r>
          </w:p>
        </w:tc>
        <w:tc>
          <w:tcPr>
            <w:tcW w:w="1464" w:type="dxa"/>
            <w:vAlign w:val="center"/>
          </w:tcPr>
          <w:p w14:paraId="52C66A60" w14:textId="35F82210" w:rsidR="00502F5A" w:rsidRPr="001D52A0" w:rsidRDefault="00502F5A" w:rsidP="00502F5A">
            <w:pPr>
              <w:jc w:val="right"/>
              <w:rPr>
                <w:rFonts w:asciiTheme="minorHAnsi" w:hAnsiTheme="minorHAnsi" w:cs="Arial"/>
                <w:sz w:val="22"/>
                <w:szCs w:val="22"/>
              </w:rPr>
            </w:pPr>
            <w:r w:rsidRPr="001D52A0">
              <w:rPr>
                <w:rFonts w:asciiTheme="minorHAnsi" w:hAnsiTheme="minorHAnsi" w:cs="Arial"/>
                <w:sz w:val="22"/>
                <w:szCs w:val="22"/>
              </w:rPr>
              <w:t>12.22</w:t>
            </w:r>
          </w:p>
        </w:tc>
        <w:tc>
          <w:tcPr>
            <w:tcW w:w="1464" w:type="dxa"/>
            <w:shd w:val="clear" w:color="auto" w:fill="auto"/>
            <w:vAlign w:val="center"/>
          </w:tcPr>
          <w:p w14:paraId="6D4AFE18" w14:textId="49535DBB" w:rsidR="00502F5A" w:rsidRPr="001D52A0" w:rsidRDefault="00502F5A" w:rsidP="00502F5A">
            <w:pPr>
              <w:jc w:val="right"/>
              <w:rPr>
                <w:rFonts w:asciiTheme="minorHAnsi" w:hAnsiTheme="minorHAnsi" w:cs="Arial"/>
                <w:sz w:val="22"/>
                <w:szCs w:val="22"/>
              </w:rPr>
            </w:pPr>
            <w:r w:rsidRPr="001D52A0">
              <w:rPr>
                <w:rFonts w:asciiTheme="minorHAnsi" w:hAnsiTheme="minorHAnsi" w:cs="Arial"/>
                <w:sz w:val="22"/>
                <w:szCs w:val="22"/>
              </w:rPr>
              <w:t>12.26</w:t>
            </w:r>
          </w:p>
        </w:tc>
      </w:tr>
      <w:tr w:rsidR="00502F5A" w:rsidRPr="001D52A0" w14:paraId="7ACDEE6F" w14:textId="77777777" w:rsidTr="000F5313">
        <w:tc>
          <w:tcPr>
            <w:tcW w:w="4395" w:type="dxa"/>
            <w:shd w:val="clear" w:color="auto" w:fill="auto"/>
          </w:tcPr>
          <w:p w14:paraId="16D86DEE" w14:textId="77777777" w:rsidR="00502F5A" w:rsidRPr="001D52A0" w:rsidRDefault="00502F5A" w:rsidP="00502F5A">
            <w:pPr>
              <w:rPr>
                <w:rFonts w:asciiTheme="minorHAnsi" w:hAnsiTheme="minorHAnsi" w:cs="Arial"/>
                <w:sz w:val="22"/>
                <w:szCs w:val="22"/>
              </w:rPr>
            </w:pPr>
            <w:r w:rsidRPr="001D52A0">
              <w:rPr>
                <w:rFonts w:asciiTheme="minorHAnsi" w:hAnsiTheme="minorHAnsi" w:cs="Arial"/>
                <w:sz w:val="22"/>
                <w:szCs w:val="22"/>
              </w:rPr>
              <w:t>Other recyclables (collected)</w:t>
            </w:r>
          </w:p>
        </w:tc>
        <w:tc>
          <w:tcPr>
            <w:tcW w:w="1464" w:type="dxa"/>
          </w:tcPr>
          <w:p w14:paraId="11140C3B" w14:textId="0B3F9802" w:rsidR="00502F5A" w:rsidRPr="001D52A0" w:rsidRDefault="00502F5A" w:rsidP="00502F5A">
            <w:pPr>
              <w:jc w:val="right"/>
              <w:rPr>
                <w:rFonts w:asciiTheme="minorHAnsi" w:hAnsiTheme="minorHAnsi" w:cs="Arial"/>
                <w:sz w:val="22"/>
                <w:szCs w:val="22"/>
              </w:rPr>
            </w:pPr>
            <w:r w:rsidRPr="001D52A0">
              <w:rPr>
                <w:rFonts w:asciiTheme="minorHAnsi" w:hAnsiTheme="minorHAnsi" w:cs="Arial"/>
                <w:sz w:val="22"/>
                <w:szCs w:val="22"/>
              </w:rPr>
              <w:t>18.63</w:t>
            </w:r>
          </w:p>
        </w:tc>
        <w:tc>
          <w:tcPr>
            <w:tcW w:w="1464" w:type="dxa"/>
            <w:shd w:val="clear" w:color="auto" w:fill="auto"/>
          </w:tcPr>
          <w:p w14:paraId="350E25D3" w14:textId="514311CA" w:rsidR="00502F5A" w:rsidRPr="001D52A0" w:rsidRDefault="00502F5A" w:rsidP="00502F5A">
            <w:pPr>
              <w:jc w:val="right"/>
              <w:rPr>
                <w:rFonts w:asciiTheme="minorHAnsi" w:hAnsiTheme="minorHAnsi" w:cs="Arial"/>
                <w:sz w:val="22"/>
                <w:szCs w:val="22"/>
              </w:rPr>
            </w:pPr>
            <w:r w:rsidRPr="001D52A0">
              <w:rPr>
                <w:rFonts w:asciiTheme="minorHAnsi" w:hAnsiTheme="minorHAnsi" w:cs="Arial"/>
                <w:sz w:val="22"/>
                <w:szCs w:val="22"/>
              </w:rPr>
              <w:t>21.34</w:t>
            </w:r>
          </w:p>
        </w:tc>
      </w:tr>
    </w:tbl>
    <w:p w14:paraId="49410FE9" w14:textId="77777777" w:rsidR="002C55C0" w:rsidRPr="001D52A0" w:rsidRDefault="000E6A5A" w:rsidP="004E4209">
      <w:pPr>
        <w:numPr>
          <w:ilvl w:val="1"/>
          <w:numId w:val="21"/>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 xml:space="preserve">These </w:t>
      </w:r>
      <w:r w:rsidR="00E45EED" w:rsidRPr="001D52A0">
        <w:rPr>
          <w:rFonts w:asciiTheme="minorHAnsi" w:hAnsiTheme="minorHAnsi" w:cs="Arial"/>
          <w:sz w:val="22"/>
          <w:szCs w:val="22"/>
        </w:rPr>
        <w:t xml:space="preserve">rates </w:t>
      </w:r>
      <w:r w:rsidRPr="001D52A0">
        <w:rPr>
          <w:rFonts w:asciiTheme="minorHAnsi" w:hAnsiTheme="minorHAnsi" w:cs="Arial"/>
          <w:sz w:val="22"/>
          <w:szCs w:val="22"/>
        </w:rPr>
        <w:t xml:space="preserve">represent the average cost </w:t>
      </w:r>
      <w:r w:rsidR="00160AA6" w:rsidRPr="001D52A0">
        <w:rPr>
          <w:rFonts w:asciiTheme="minorHAnsi" w:hAnsiTheme="minorHAnsi" w:cs="Arial"/>
          <w:sz w:val="22"/>
          <w:szCs w:val="22"/>
        </w:rPr>
        <w:t xml:space="preserve">(or estimated cost for contracts due to be procured) </w:t>
      </w:r>
      <w:r w:rsidR="00E45EED" w:rsidRPr="001D52A0">
        <w:rPr>
          <w:rFonts w:asciiTheme="minorHAnsi" w:hAnsiTheme="minorHAnsi" w:cs="Arial"/>
          <w:sz w:val="22"/>
          <w:szCs w:val="22"/>
        </w:rPr>
        <w:t xml:space="preserve">to the Authority for the </w:t>
      </w:r>
      <w:r w:rsidRPr="001D52A0">
        <w:rPr>
          <w:rFonts w:asciiTheme="minorHAnsi" w:hAnsiTheme="minorHAnsi" w:cs="Arial"/>
          <w:sz w:val="22"/>
          <w:szCs w:val="22"/>
        </w:rPr>
        <w:t xml:space="preserve">disposal </w:t>
      </w:r>
      <w:r w:rsidR="00C80883" w:rsidRPr="001D52A0">
        <w:rPr>
          <w:rFonts w:asciiTheme="minorHAnsi" w:hAnsiTheme="minorHAnsi" w:cs="Arial"/>
          <w:sz w:val="22"/>
          <w:szCs w:val="22"/>
        </w:rPr>
        <w:t xml:space="preserve">and transport </w:t>
      </w:r>
      <w:r w:rsidR="00E45EED" w:rsidRPr="001D52A0">
        <w:rPr>
          <w:rFonts w:asciiTheme="minorHAnsi" w:hAnsiTheme="minorHAnsi" w:cs="Arial"/>
          <w:sz w:val="22"/>
          <w:szCs w:val="22"/>
        </w:rPr>
        <w:t xml:space="preserve">of materials. They </w:t>
      </w:r>
      <w:r w:rsidR="00370B5A" w:rsidRPr="001D52A0">
        <w:rPr>
          <w:rFonts w:asciiTheme="minorHAnsi" w:hAnsiTheme="minorHAnsi" w:cs="Arial"/>
          <w:sz w:val="22"/>
          <w:szCs w:val="22"/>
        </w:rPr>
        <w:t xml:space="preserve">are </w:t>
      </w:r>
      <w:r w:rsidR="00E45EED" w:rsidRPr="001D52A0">
        <w:rPr>
          <w:rFonts w:asciiTheme="minorHAnsi" w:hAnsiTheme="minorHAnsi" w:cs="Arial"/>
          <w:sz w:val="22"/>
          <w:szCs w:val="22"/>
        </w:rPr>
        <w:t xml:space="preserve">the </w:t>
      </w:r>
      <w:r w:rsidR="00370B5A" w:rsidRPr="001D52A0">
        <w:rPr>
          <w:rFonts w:asciiTheme="minorHAnsi" w:hAnsiTheme="minorHAnsi" w:cs="Arial"/>
          <w:sz w:val="22"/>
          <w:szCs w:val="22"/>
        </w:rPr>
        <w:t>PAYT rates payable by boroughs in order to recover costs</w:t>
      </w:r>
      <w:r w:rsidR="007E506D" w:rsidRPr="001D52A0">
        <w:rPr>
          <w:rFonts w:asciiTheme="minorHAnsi" w:hAnsiTheme="minorHAnsi" w:cs="Arial"/>
          <w:sz w:val="22"/>
          <w:szCs w:val="22"/>
        </w:rPr>
        <w:t>.</w:t>
      </w:r>
      <w:r w:rsidR="00E6060D" w:rsidRPr="001D52A0">
        <w:rPr>
          <w:rFonts w:asciiTheme="minorHAnsi" w:hAnsiTheme="minorHAnsi" w:cs="Arial"/>
          <w:sz w:val="22"/>
          <w:szCs w:val="22"/>
        </w:rPr>
        <w:t xml:space="preserve"> </w:t>
      </w:r>
    </w:p>
    <w:p w14:paraId="5EF6CABE" w14:textId="77D0531E" w:rsidR="00502F5A" w:rsidRPr="001D52A0" w:rsidRDefault="00CD0032" w:rsidP="00502F5A">
      <w:pPr>
        <w:numPr>
          <w:ilvl w:val="1"/>
          <w:numId w:val="21"/>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 xml:space="preserve">These rates </w:t>
      </w:r>
      <w:r w:rsidR="006E212F" w:rsidRPr="001D52A0">
        <w:rPr>
          <w:rFonts w:asciiTheme="minorHAnsi" w:hAnsiTheme="minorHAnsi" w:cs="Arial"/>
          <w:sz w:val="22"/>
          <w:szCs w:val="22"/>
        </w:rPr>
        <w:t xml:space="preserve">are </w:t>
      </w:r>
      <w:r w:rsidRPr="001D52A0">
        <w:rPr>
          <w:rFonts w:asciiTheme="minorHAnsi" w:hAnsiTheme="minorHAnsi" w:cs="Arial"/>
          <w:sz w:val="22"/>
          <w:szCs w:val="22"/>
        </w:rPr>
        <w:t>applied to the 20</w:t>
      </w:r>
      <w:r w:rsidR="007F2DD6" w:rsidRPr="001D52A0">
        <w:rPr>
          <w:rFonts w:asciiTheme="minorHAnsi" w:hAnsiTheme="minorHAnsi" w:cs="Arial"/>
          <w:sz w:val="22"/>
          <w:szCs w:val="22"/>
        </w:rPr>
        <w:t>2</w:t>
      </w:r>
      <w:r w:rsidR="00370B5A" w:rsidRPr="001D52A0">
        <w:rPr>
          <w:rFonts w:asciiTheme="minorHAnsi" w:hAnsiTheme="minorHAnsi" w:cs="Arial"/>
          <w:sz w:val="22"/>
          <w:szCs w:val="22"/>
        </w:rPr>
        <w:t>3</w:t>
      </w:r>
      <w:r w:rsidRPr="001D52A0">
        <w:rPr>
          <w:rFonts w:asciiTheme="minorHAnsi" w:hAnsiTheme="minorHAnsi" w:cs="Arial"/>
          <w:sz w:val="22"/>
          <w:szCs w:val="22"/>
        </w:rPr>
        <w:t>/</w:t>
      </w:r>
      <w:r w:rsidR="00F07E76" w:rsidRPr="001D52A0">
        <w:rPr>
          <w:rFonts w:asciiTheme="minorHAnsi" w:hAnsiTheme="minorHAnsi" w:cs="Arial"/>
          <w:sz w:val="22"/>
          <w:szCs w:val="22"/>
        </w:rPr>
        <w:t>2</w:t>
      </w:r>
      <w:r w:rsidR="00370B5A" w:rsidRPr="001D52A0">
        <w:rPr>
          <w:rFonts w:asciiTheme="minorHAnsi" w:hAnsiTheme="minorHAnsi" w:cs="Arial"/>
          <w:sz w:val="22"/>
          <w:szCs w:val="22"/>
        </w:rPr>
        <w:t>4</w:t>
      </w:r>
      <w:r w:rsidRPr="001D52A0">
        <w:rPr>
          <w:rFonts w:asciiTheme="minorHAnsi" w:hAnsiTheme="minorHAnsi" w:cs="Arial"/>
          <w:sz w:val="22"/>
          <w:szCs w:val="22"/>
        </w:rPr>
        <w:t xml:space="preserve"> tonnage forecasts from boroughs and result in a monthly charge to them. Each quarter end a reconciliation exercise will take place to adjust for the actual amount of waste that each borough delivers, so boroughs only pay for </w:t>
      </w:r>
      <w:r w:rsidR="005E7B7C" w:rsidRPr="001D52A0">
        <w:rPr>
          <w:rFonts w:asciiTheme="minorHAnsi" w:hAnsiTheme="minorHAnsi" w:cs="Arial"/>
          <w:sz w:val="22"/>
          <w:szCs w:val="22"/>
        </w:rPr>
        <w:t xml:space="preserve">the volume of </w:t>
      </w:r>
      <w:r w:rsidRPr="001D52A0">
        <w:rPr>
          <w:rFonts w:asciiTheme="minorHAnsi" w:hAnsiTheme="minorHAnsi" w:cs="Arial"/>
          <w:sz w:val="22"/>
          <w:szCs w:val="22"/>
        </w:rPr>
        <w:t>waste actually disposed.</w:t>
      </w:r>
    </w:p>
    <w:p w14:paraId="4F23E871" w14:textId="30DEB8E0" w:rsidR="00D56E5F" w:rsidRDefault="00587A05" w:rsidP="004E4209">
      <w:pPr>
        <w:numPr>
          <w:ilvl w:val="1"/>
          <w:numId w:val="21"/>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 xml:space="preserve">Using tonnage forecasts from boroughs, the PAYT charges </w:t>
      </w:r>
      <w:r w:rsidR="009D10A4" w:rsidRPr="001D52A0">
        <w:rPr>
          <w:rFonts w:asciiTheme="minorHAnsi" w:hAnsiTheme="minorHAnsi" w:cs="Arial"/>
          <w:sz w:val="22"/>
          <w:szCs w:val="22"/>
        </w:rPr>
        <w:t xml:space="preserve">for </w:t>
      </w:r>
      <w:r w:rsidR="00897097" w:rsidRPr="001D52A0">
        <w:rPr>
          <w:rFonts w:asciiTheme="minorHAnsi" w:hAnsiTheme="minorHAnsi" w:cs="Arial"/>
          <w:sz w:val="22"/>
          <w:szCs w:val="22"/>
        </w:rPr>
        <w:t>2024/25</w:t>
      </w:r>
      <w:r w:rsidR="00420639" w:rsidRPr="001D52A0">
        <w:rPr>
          <w:rFonts w:asciiTheme="minorHAnsi" w:hAnsiTheme="minorHAnsi" w:cs="Arial"/>
          <w:sz w:val="22"/>
          <w:szCs w:val="22"/>
        </w:rPr>
        <w:t xml:space="preserve"> </w:t>
      </w:r>
      <w:r w:rsidRPr="001D52A0">
        <w:rPr>
          <w:rFonts w:asciiTheme="minorHAnsi" w:hAnsiTheme="minorHAnsi" w:cs="Arial"/>
          <w:sz w:val="22"/>
          <w:szCs w:val="22"/>
        </w:rPr>
        <w:t>are as follows:</w:t>
      </w:r>
    </w:p>
    <w:tbl>
      <w:tblPr>
        <w:tblStyle w:val="TableGrid"/>
        <w:tblW w:w="0" w:type="auto"/>
        <w:jc w:val="center"/>
        <w:tblLayout w:type="fixed"/>
        <w:tblLook w:val="04A0" w:firstRow="1" w:lastRow="0" w:firstColumn="1" w:lastColumn="0" w:noHBand="0" w:noVBand="1"/>
      </w:tblPr>
      <w:tblGrid>
        <w:gridCol w:w="1762"/>
        <w:gridCol w:w="1655"/>
        <w:gridCol w:w="1655"/>
        <w:gridCol w:w="1882"/>
      </w:tblGrid>
      <w:tr w:rsidR="00897097" w:rsidRPr="001D52A0" w14:paraId="35F15871" w14:textId="77777777" w:rsidTr="00897097">
        <w:trPr>
          <w:trHeight w:val="749"/>
          <w:jc w:val="center"/>
        </w:trPr>
        <w:tc>
          <w:tcPr>
            <w:tcW w:w="1762" w:type="dxa"/>
            <w:hideMark/>
          </w:tcPr>
          <w:p w14:paraId="501C475F" w14:textId="77777777" w:rsidR="00897097" w:rsidRPr="001D52A0" w:rsidRDefault="00897097" w:rsidP="00A77F46">
            <w:pPr>
              <w:autoSpaceDE w:val="0"/>
              <w:autoSpaceDN w:val="0"/>
              <w:adjustRightInd w:val="0"/>
              <w:ind w:left="465"/>
              <w:jc w:val="both"/>
              <w:rPr>
                <w:rFonts w:asciiTheme="minorHAnsi" w:hAnsiTheme="minorHAnsi" w:cs="Arial"/>
                <w:b/>
                <w:bCs/>
                <w:sz w:val="22"/>
                <w:szCs w:val="22"/>
              </w:rPr>
            </w:pPr>
            <w:r w:rsidRPr="001D52A0">
              <w:rPr>
                <w:rFonts w:asciiTheme="minorHAnsi" w:hAnsiTheme="minorHAnsi" w:cs="Arial"/>
                <w:b/>
                <w:bCs/>
                <w:sz w:val="22"/>
                <w:szCs w:val="22"/>
              </w:rPr>
              <w:t>Borough</w:t>
            </w:r>
          </w:p>
        </w:tc>
        <w:tc>
          <w:tcPr>
            <w:tcW w:w="1655" w:type="dxa"/>
            <w:hideMark/>
          </w:tcPr>
          <w:p w14:paraId="67EAE399" w14:textId="77777777" w:rsidR="00897097" w:rsidRPr="001D52A0" w:rsidRDefault="00897097" w:rsidP="00A77F46">
            <w:pPr>
              <w:autoSpaceDE w:val="0"/>
              <w:autoSpaceDN w:val="0"/>
              <w:adjustRightInd w:val="0"/>
              <w:ind w:left="465"/>
              <w:jc w:val="both"/>
              <w:rPr>
                <w:rFonts w:asciiTheme="minorHAnsi" w:hAnsiTheme="minorHAnsi" w:cs="Arial"/>
                <w:b/>
                <w:bCs/>
                <w:sz w:val="22"/>
                <w:szCs w:val="22"/>
              </w:rPr>
            </w:pPr>
            <w:r w:rsidRPr="001D52A0">
              <w:rPr>
                <w:rFonts w:asciiTheme="minorHAnsi" w:hAnsiTheme="minorHAnsi" w:cs="Arial"/>
                <w:b/>
                <w:bCs/>
                <w:sz w:val="22"/>
                <w:szCs w:val="22"/>
              </w:rPr>
              <w:t>2023/24 PAYT disposal charge £000’s</w:t>
            </w:r>
          </w:p>
        </w:tc>
        <w:tc>
          <w:tcPr>
            <w:tcW w:w="1655" w:type="dxa"/>
            <w:hideMark/>
          </w:tcPr>
          <w:p w14:paraId="392A477D" w14:textId="77777777" w:rsidR="00897097" w:rsidRPr="001D52A0" w:rsidRDefault="00897097" w:rsidP="00A77F46">
            <w:pPr>
              <w:autoSpaceDE w:val="0"/>
              <w:autoSpaceDN w:val="0"/>
              <w:adjustRightInd w:val="0"/>
              <w:ind w:left="465"/>
              <w:jc w:val="both"/>
              <w:rPr>
                <w:rFonts w:asciiTheme="minorHAnsi" w:hAnsiTheme="minorHAnsi" w:cs="Arial"/>
                <w:b/>
                <w:bCs/>
                <w:sz w:val="22"/>
                <w:szCs w:val="22"/>
              </w:rPr>
            </w:pPr>
            <w:r w:rsidRPr="001D52A0">
              <w:rPr>
                <w:rFonts w:asciiTheme="minorHAnsi" w:hAnsiTheme="minorHAnsi" w:cs="Arial"/>
                <w:b/>
                <w:bCs/>
                <w:sz w:val="22"/>
                <w:szCs w:val="22"/>
              </w:rPr>
              <w:t>2024/25 PAYT disposal charge £000’s</w:t>
            </w:r>
          </w:p>
        </w:tc>
        <w:tc>
          <w:tcPr>
            <w:tcW w:w="1882" w:type="dxa"/>
            <w:hideMark/>
          </w:tcPr>
          <w:p w14:paraId="53F7D2BF" w14:textId="77777777" w:rsidR="00B97D96" w:rsidRPr="001D52A0" w:rsidRDefault="00B97D96" w:rsidP="00A77F46">
            <w:pPr>
              <w:jc w:val="center"/>
              <w:rPr>
                <w:rFonts w:asciiTheme="minorHAnsi" w:hAnsiTheme="minorHAnsi" w:cs="Arial"/>
                <w:b/>
                <w:bCs/>
                <w:color w:val="000000"/>
                <w:sz w:val="22"/>
                <w:szCs w:val="22"/>
                <w:lang w:eastAsia="en-GB"/>
              </w:rPr>
            </w:pPr>
          </w:p>
          <w:p w14:paraId="26055742" w14:textId="2413B649" w:rsidR="00897097" w:rsidRPr="001D52A0" w:rsidRDefault="00B97D96" w:rsidP="00A77F46">
            <w:pPr>
              <w:jc w:val="center"/>
              <w:rPr>
                <w:rFonts w:asciiTheme="minorHAnsi" w:hAnsiTheme="minorHAnsi" w:cs="Arial"/>
                <w:b/>
                <w:bCs/>
                <w:color w:val="000000"/>
                <w:sz w:val="22"/>
                <w:szCs w:val="22"/>
                <w:lang w:eastAsia="en-GB"/>
              </w:rPr>
            </w:pPr>
            <w:r w:rsidRPr="001D52A0">
              <w:rPr>
                <w:rFonts w:asciiTheme="minorHAnsi" w:hAnsiTheme="minorHAnsi" w:cs="Arial"/>
                <w:b/>
                <w:bCs/>
                <w:color w:val="000000"/>
                <w:sz w:val="22"/>
                <w:szCs w:val="22"/>
                <w:lang w:eastAsia="en-GB"/>
              </w:rPr>
              <w:t>Growth           £000’s</w:t>
            </w:r>
          </w:p>
        </w:tc>
      </w:tr>
      <w:tr w:rsidR="00897097" w:rsidRPr="001D52A0" w14:paraId="10135BF7" w14:textId="77777777" w:rsidTr="00897097">
        <w:trPr>
          <w:trHeight w:val="352"/>
          <w:jc w:val="center"/>
        </w:trPr>
        <w:tc>
          <w:tcPr>
            <w:tcW w:w="1762" w:type="dxa"/>
            <w:hideMark/>
          </w:tcPr>
          <w:p w14:paraId="06DABC40" w14:textId="77777777" w:rsidR="00897097" w:rsidRPr="001D52A0" w:rsidRDefault="00897097" w:rsidP="00A77F46">
            <w:pPr>
              <w:autoSpaceDE w:val="0"/>
              <w:autoSpaceDN w:val="0"/>
              <w:adjustRightInd w:val="0"/>
              <w:ind w:left="465"/>
              <w:jc w:val="both"/>
              <w:rPr>
                <w:rFonts w:asciiTheme="minorHAnsi" w:hAnsiTheme="minorHAnsi" w:cs="Arial"/>
                <w:sz w:val="22"/>
                <w:szCs w:val="22"/>
              </w:rPr>
            </w:pPr>
            <w:r w:rsidRPr="001D52A0">
              <w:rPr>
                <w:rFonts w:asciiTheme="minorHAnsi" w:hAnsiTheme="minorHAnsi" w:cs="Arial"/>
                <w:sz w:val="22"/>
                <w:szCs w:val="22"/>
              </w:rPr>
              <w:t>Brent</w:t>
            </w:r>
          </w:p>
        </w:tc>
        <w:tc>
          <w:tcPr>
            <w:tcW w:w="1655" w:type="dxa"/>
            <w:hideMark/>
          </w:tcPr>
          <w:p w14:paraId="10748485" w14:textId="77777777" w:rsidR="00897097" w:rsidRPr="001D52A0" w:rsidRDefault="00897097" w:rsidP="00A77F46">
            <w:pPr>
              <w:autoSpaceDE w:val="0"/>
              <w:autoSpaceDN w:val="0"/>
              <w:adjustRightInd w:val="0"/>
              <w:ind w:left="465"/>
              <w:jc w:val="both"/>
              <w:rPr>
                <w:rFonts w:asciiTheme="minorHAnsi" w:hAnsiTheme="minorHAnsi" w:cs="Arial"/>
                <w:sz w:val="22"/>
                <w:szCs w:val="22"/>
              </w:rPr>
            </w:pPr>
            <w:r w:rsidRPr="001D52A0">
              <w:rPr>
                <w:rFonts w:asciiTheme="minorHAnsi" w:hAnsiTheme="minorHAnsi" w:cs="Arial"/>
                <w:sz w:val="22"/>
                <w:szCs w:val="22"/>
              </w:rPr>
              <w:t>8,008</w:t>
            </w:r>
          </w:p>
        </w:tc>
        <w:tc>
          <w:tcPr>
            <w:tcW w:w="1655" w:type="dxa"/>
            <w:hideMark/>
          </w:tcPr>
          <w:p w14:paraId="610CAEAB" w14:textId="77777777" w:rsidR="00897097" w:rsidRPr="001D52A0" w:rsidRDefault="00897097" w:rsidP="00A77F46">
            <w:pPr>
              <w:autoSpaceDE w:val="0"/>
              <w:autoSpaceDN w:val="0"/>
              <w:adjustRightInd w:val="0"/>
              <w:ind w:left="465"/>
              <w:jc w:val="both"/>
              <w:rPr>
                <w:rFonts w:asciiTheme="minorHAnsi" w:hAnsiTheme="minorHAnsi" w:cs="Arial"/>
                <w:sz w:val="22"/>
                <w:szCs w:val="22"/>
              </w:rPr>
            </w:pPr>
            <w:r w:rsidRPr="001D52A0">
              <w:rPr>
                <w:rFonts w:asciiTheme="minorHAnsi" w:hAnsiTheme="minorHAnsi" w:cs="Arial"/>
                <w:sz w:val="22"/>
                <w:szCs w:val="22"/>
              </w:rPr>
              <w:t>8,526</w:t>
            </w:r>
          </w:p>
        </w:tc>
        <w:tc>
          <w:tcPr>
            <w:tcW w:w="1882" w:type="dxa"/>
            <w:hideMark/>
          </w:tcPr>
          <w:p w14:paraId="3E95B37B" w14:textId="77777777" w:rsidR="00897097" w:rsidRPr="001D52A0" w:rsidRDefault="00897097" w:rsidP="00A77F46">
            <w:pPr>
              <w:autoSpaceDE w:val="0"/>
              <w:autoSpaceDN w:val="0"/>
              <w:adjustRightInd w:val="0"/>
              <w:ind w:left="465"/>
              <w:jc w:val="both"/>
              <w:rPr>
                <w:rFonts w:asciiTheme="minorHAnsi" w:hAnsiTheme="minorHAnsi" w:cs="Arial"/>
                <w:sz w:val="22"/>
                <w:szCs w:val="22"/>
              </w:rPr>
            </w:pPr>
            <w:r w:rsidRPr="001D52A0">
              <w:rPr>
                <w:rFonts w:asciiTheme="minorHAnsi" w:hAnsiTheme="minorHAnsi" w:cs="Arial"/>
                <w:sz w:val="22"/>
                <w:szCs w:val="22"/>
              </w:rPr>
              <w:t>519</w:t>
            </w:r>
          </w:p>
        </w:tc>
      </w:tr>
      <w:tr w:rsidR="00897097" w:rsidRPr="001D52A0" w14:paraId="73065E87" w14:textId="77777777" w:rsidTr="00897097">
        <w:trPr>
          <w:trHeight w:val="185"/>
          <w:jc w:val="center"/>
        </w:trPr>
        <w:tc>
          <w:tcPr>
            <w:tcW w:w="1762" w:type="dxa"/>
            <w:hideMark/>
          </w:tcPr>
          <w:p w14:paraId="51BBC3E2" w14:textId="77777777" w:rsidR="00897097" w:rsidRPr="001D52A0" w:rsidRDefault="00897097" w:rsidP="00A77F46">
            <w:pPr>
              <w:autoSpaceDE w:val="0"/>
              <w:autoSpaceDN w:val="0"/>
              <w:adjustRightInd w:val="0"/>
              <w:ind w:left="465"/>
              <w:jc w:val="both"/>
              <w:rPr>
                <w:rFonts w:asciiTheme="minorHAnsi" w:hAnsiTheme="minorHAnsi" w:cs="Arial"/>
                <w:sz w:val="22"/>
                <w:szCs w:val="22"/>
              </w:rPr>
            </w:pPr>
            <w:r w:rsidRPr="001D52A0">
              <w:rPr>
                <w:rFonts w:asciiTheme="minorHAnsi" w:hAnsiTheme="minorHAnsi" w:cs="Arial"/>
                <w:sz w:val="22"/>
                <w:szCs w:val="22"/>
              </w:rPr>
              <w:t>Ealing</w:t>
            </w:r>
          </w:p>
        </w:tc>
        <w:tc>
          <w:tcPr>
            <w:tcW w:w="1655" w:type="dxa"/>
            <w:hideMark/>
          </w:tcPr>
          <w:p w14:paraId="2B5694F0" w14:textId="77777777" w:rsidR="00897097" w:rsidRPr="001D52A0" w:rsidRDefault="00897097" w:rsidP="00A77F46">
            <w:pPr>
              <w:autoSpaceDE w:val="0"/>
              <w:autoSpaceDN w:val="0"/>
              <w:adjustRightInd w:val="0"/>
              <w:ind w:left="465"/>
              <w:jc w:val="both"/>
              <w:rPr>
                <w:rFonts w:asciiTheme="minorHAnsi" w:hAnsiTheme="minorHAnsi" w:cs="Arial"/>
                <w:sz w:val="22"/>
                <w:szCs w:val="22"/>
              </w:rPr>
            </w:pPr>
            <w:r w:rsidRPr="001D52A0">
              <w:rPr>
                <w:rFonts w:asciiTheme="minorHAnsi" w:hAnsiTheme="minorHAnsi" w:cs="Arial"/>
                <w:sz w:val="22"/>
                <w:szCs w:val="22"/>
              </w:rPr>
              <w:t>8,920</w:t>
            </w:r>
          </w:p>
        </w:tc>
        <w:tc>
          <w:tcPr>
            <w:tcW w:w="1655" w:type="dxa"/>
            <w:hideMark/>
          </w:tcPr>
          <w:p w14:paraId="339C7AE1" w14:textId="77777777" w:rsidR="00897097" w:rsidRPr="001D52A0" w:rsidRDefault="00897097" w:rsidP="00A77F46">
            <w:pPr>
              <w:autoSpaceDE w:val="0"/>
              <w:autoSpaceDN w:val="0"/>
              <w:adjustRightInd w:val="0"/>
              <w:ind w:left="465"/>
              <w:jc w:val="both"/>
              <w:rPr>
                <w:rFonts w:asciiTheme="minorHAnsi" w:hAnsiTheme="minorHAnsi" w:cs="Arial"/>
                <w:sz w:val="22"/>
                <w:szCs w:val="22"/>
              </w:rPr>
            </w:pPr>
            <w:r w:rsidRPr="001D52A0">
              <w:rPr>
                <w:rFonts w:asciiTheme="minorHAnsi" w:hAnsiTheme="minorHAnsi" w:cs="Arial"/>
                <w:sz w:val="22"/>
                <w:szCs w:val="22"/>
              </w:rPr>
              <w:t>9,509</w:t>
            </w:r>
          </w:p>
        </w:tc>
        <w:tc>
          <w:tcPr>
            <w:tcW w:w="1882" w:type="dxa"/>
            <w:hideMark/>
          </w:tcPr>
          <w:p w14:paraId="1522CC5A" w14:textId="77777777" w:rsidR="00897097" w:rsidRPr="001D52A0" w:rsidRDefault="00897097" w:rsidP="00A77F46">
            <w:pPr>
              <w:autoSpaceDE w:val="0"/>
              <w:autoSpaceDN w:val="0"/>
              <w:adjustRightInd w:val="0"/>
              <w:ind w:left="465"/>
              <w:jc w:val="both"/>
              <w:rPr>
                <w:rFonts w:asciiTheme="minorHAnsi" w:hAnsiTheme="minorHAnsi" w:cs="Arial"/>
                <w:sz w:val="22"/>
                <w:szCs w:val="22"/>
              </w:rPr>
            </w:pPr>
            <w:r w:rsidRPr="001D52A0">
              <w:rPr>
                <w:rFonts w:asciiTheme="minorHAnsi" w:hAnsiTheme="minorHAnsi" w:cs="Arial"/>
                <w:sz w:val="22"/>
                <w:szCs w:val="22"/>
              </w:rPr>
              <w:t>588</w:t>
            </w:r>
          </w:p>
        </w:tc>
      </w:tr>
      <w:tr w:rsidR="00897097" w:rsidRPr="001D52A0" w14:paraId="39332206" w14:textId="77777777" w:rsidTr="00897097">
        <w:trPr>
          <w:trHeight w:val="185"/>
          <w:jc w:val="center"/>
        </w:trPr>
        <w:tc>
          <w:tcPr>
            <w:tcW w:w="1762" w:type="dxa"/>
            <w:hideMark/>
          </w:tcPr>
          <w:p w14:paraId="566545F8" w14:textId="77777777" w:rsidR="00897097" w:rsidRPr="001D52A0" w:rsidRDefault="00897097" w:rsidP="00A77F46">
            <w:pPr>
              <w:autoSpaceDE w:val="0"/>
              <w:autoSpaceDN w:val="0"/>
              <w:adjustRightInd w:val="0"/>
              <w:ind w:left="465"/>
              <w:jc w:val="both"/>
              <w:rPr>
                <w:rFonts w:asciiTheme="minorHAnsi" w:hAnsiTheme="minorHAnsi" w:cs="Arial"/>
                <w:sz w:val="22"/>
                <w:szCs w:val="22"/>
              </w:rPr>
            </w:pPr>
            <w:r w:rsidRPr="001D52A0">
              <w:rPr>
                <w:rFonts w:asciiTheme="minorHAnsi" w:hAnsiTheme="minorHAnsi" w:cs="Arial"/>
                <w:sz w:val="22"/>
                <w:szCs w:val="22"/>
              </w:rPr>
              <w:t>Harrow</w:t>
            </w:r>
          </w:p>
        </w:tc>
        <w:tc>
          <w:tcPr>
            <w:tcW w:w="1655" w:type="dxa"/>
            <w:hideMark/>
          </w:tcPr>
          <w:p w14:paraId="063A2EB6" w14:textId="77777777" w:rsidR="00897097" w:rsidRPr="001D52A0" w:rsidRDefault="00897097" w:rsidP="00A77F46">
            <w:pPr>
              <w:autoSpaceDE w:val="0"/>
              <w:autoSpaceDN w:val="0"/>
              <w:adjustRightInd w:val="0"/>
              <w:ind w:left="465"/>
              <w:jc w:val="both"/>
              <w:rPr>
                <w:rFonts w:asciiTheme="minorHAnsi" w:hAnsiTheme="minorHAnsi" w:cs="Arial"/>
                <w:sz w:val="22"/>
                <w:szCs w:val="22"/>
              </w:rPr>
            </w:pPr>
            <w:r w:rsidRPr="001D52A0">
              <w:rPr>
                <w:rFonts w:asciiTheme="minorHAnsi" w:hAnsiTheme="minorHAnsi" w:cs="Arial"/>
                <w:sz w:val="22"/>
                <w:szCs w:val="22"/>
              </w:rPr>
              <w:t>6,486</w:t>
            </w:r>
          </w:p>
        </w:tc>
        <w:tc>
          <w:tcPr>
            <w:tcW w:w="1655" w:type="dxa"/>
            <w:hideMark/>
          </w:tcPr>
          <w:p w14:paraId="011EBA03" w14:textId="77777777" w:rsidR="00897097" w:rsidRPr="001D52A0" w:rsidRDefault="00897097" w:rsidP="00A77F46">
            <w:pPr>
              <w:autoSpaceDE w:val="0"/>
              <w:autoSpaceDN w:val="0"/>
              <w:adjustRightInd w:val="0"/>
              <w:ind w:left="465"/>
              <w:jc w:val="both"/>
              <w:rPr>
                <w:rFonts w:asciiTheme="minorHAnsi" w:hAnsiTheme="minorHAnsi" w:cs="Arial"/>
                <w:sz w:val="22"/>
                <w:szCs w:val="22"/>
              </w:rPr>
            </w:pPr>
            <w:r w:rsidRPr="001D52A0">
              <w:rPr>
                <w:rFonts w:asciiTheme="minorHAnsi" w:hAnsiTheme="minorHAnsi" w:cs="Arial"/>
                <w:sz w:val="22"/>
                <w:szCs w:val="22"/>
              </w:rPr>
              <w:t>6,587</w:t>
            </w:r>
          </w:p>
        </w:tc>
        <w:tc>
          <w:tcPr>
            <w:tcW w:w="1882" w:type="dxa"/>
            <w:hideMark/>
          </w:tcPr>
          <w:p w14:paraId="12D2B9EB" w14:textId="77777777" w:rsidR="00897097" w:rsidRPr="001D52A0" w:rsidRDefault="00897097" w:rsidP="00A77F46">
            <w:pPr>
              <w:autoSpaceDE w:val="0"/>
              <w:autoSpaceDN w:val="0"/>
              <w:adjustRightInd w:val="0"/>
              <w:ind w:left="465"/>
              <w:jc w:val="both"/>
              <w:rPr>
                <w:rFonts w:asciiTheme="minorHAnsi" w:hAnsiTheme="minorHAnsi" w:cs="Arial"/>
                <w:sz w:val="22"/>
                <w:szCs w:val="22"/>
              </w:rPr>
            </w:pPr>
            <w:r w:rsidRPr="001D52A0">
              <w:rPr>
                <w:rFonts w:asciiTheme="minorHAnsi" w:hAnsiTheme="minorHAnsi" w:cs="Arial"/>
                <w:sz w:val="22"/>
                <w:szCs w:val="22"/>
              </w:rPr>
              <w:t>101</w:t>
            </w:r>
          </w:p>
        </w:tc>
      </w:tr>
      <w:tr w:rsidR="00897097" w:rsidRPr="001D52A0" w14:paraId="66CE6014" w14:textId="77777777" w:rsidTr="00897097">
        <w:trPr>
          <w:trHeight w:val="451"/>
          <w:jc w:val="center"/>
        </w:trPr>
        <w:tc>
          <w:tcPr>
            <w:tcW w:w="1762" w:type="dxa"/>
            <w:hideMark/>
          </w:tcPr>
          <w:p w14:paraId="79AD0140" w14:textId="77777777" w:rsidR="00897097" w:rsidRPr="001D52A0" w:rsidRDefault="00897097" w:rsidP="00A77F46">
            <w:pPr>
              <w:autoSpaceDE w:val="0"/>
              <w:autoSpaceDN w:val="0"/>
              <w:adjustRightInd w:val="0"/>
              <w:ind w:left="465"/>
              <w:jc w:val="both"/>
              <w:rPr>
                <w:rFonts w:asciiTheme="minorHAnsi" w:hAnsiTheme="minorHAnsi" w:cs="Arial"/>
                <w:sz w:val="22"/>
                <w:szCs w:val="22"/>
              </w:rPr>
            </w:pPr>
            <w:r w:rsidRPr="001D52A0">
              <w:rPr>
                <w:rFonts w:asciiTheme="minorHAnsi" w:hAnsiTheme="minorHAnsi" w:cs="Arial"/>
                <w:sz w:val="22"/>
                <w:szCs w:val="22"/>
              </w:rPr>
              <w:t>Hillingdon</w:t>
            </w:r>
          </w:p>
        </w:tc>
        <w:tc>
          <w:tcPr>
            <w:tcW w:w="1655" w:type="dxa"/>
            <w:hideMark/>
          </w:tcPr>
          <w:p w14:paraId="7D15FE44" w14:textId="77777777" w:rsidR="00897097" w:rsidRPr="001D52A0" w:rsidRDefault="00897097" w:rsidP="00A77F46">
            <w:pPr>
              <w:autoSpaceDE w:val="0"/>
              <w:autoSpaceDN w:val="0"/>
              <w:adjustRightInd w:val="0"/>
              <w:ind w:left="465"/>
              <w:jc w:val="both"/>
              <w:rPr>
                <w:rFonts w:asciiTheme="minorHAnsi" w:hAnsiTheme="minorHAnsi" w:cs="Arial"/>
                <w:sz w:val="22"/>
                <w:szCs w:val="22"/>
              </w:rPr>
            </w:pPr>
            <w:r w:rsidRPr="001D52A0">
              <w:rPr>
                <w:rFonts w:asciiTheme="minorHAnsi" w:hAnsiTheme="minorHAnsi" w:cs="Arial"/>
                <w:sz w:val="22"/>
                <w:szCs w:val="22"/>
              </w:rPr>
              <w:t>8,583</w:t>
            </w:r>
          </w:p>
        </w:tc>
        <w:tc>
          <w:tcPr>
            <w:tcW w:w="1655" w:type="dxa"/>
            <w:hideMark/>
          </w:tcPr>
          <w:p w14:paraId="4FC86705" w14:textId="77777777" w:rsidR="00897097" w:rsidRPr="001D52A0" w:rsidRDefault="00897097" w:rsidP="00A77F46">
            <w:pPr>
              <w:autoSpaceDE w:val="0"/>
              <w:autoSpaceDN w:val="0"/>
              <w:adjustRightInd w:val="0"/>
              <w:ind w:left="465"/>
              <w:jc w:val="both"/>
              <w:rPr>
                <w:rFonts w:asciiTheme="minorHAnsi" w:hAnsiTheme="minorHAnsi" w:cs="Arial"/>
                <w:sz w:val="22"/>
                <w:szCs w:val="22"/>
              </w:rPr>
            </w:pPr>
            <w:r w:rsidRPr="001D52A0">
              <w:rPr>
                <w:rFonts w:asciiTheme="minorHAnsi" w:hAnsiTheme="minorHAnsi" w:cs="Arial"/>
                <w:sz w:val="22"/>
                <w:szCs w:val="22"/>
              </w:rPr>
              <w:t>9,101</w:t>
            </w:r>
          </w:p>
        </w:tc>
        <w:tc>
          <w:tcPr>
            <w:tcW w:w="1882" w:type="dxa"/>
            <w:hideMark/>
          </w:tcPr>
          <w:p w14:paraId="56250F72" w14:textId="77777777" w:rsidR="00897097" w:rsidRPr="001D52A0" w:rsidRDefault="00897097" w:rsidP="00A77F46">
            <w:pPr>
              <w:autoSpaceDE w:val="0"/>
              <w:autoSpaceDN w:val="0"/>
              <w:adjustRightInd w:val="0"/>
              <w:ind w:left="465"/>
              <w:jc w:val="both"/>
              <w:rPr>
                <w:rFonts w:asciiTheme="minorHAnsi" w:hAnsiTheme="minorHAnsi" w:cs="Arial"/>
                <w:sz w:val="22"/>
                <w:szCs w:val="22"/>
              </w:rPr>
            </w:pPr>
            <w:r w:rsidRPr="001D52A0">
              <w:rPr>
                <w:rFonts w:asciiTheme="minorHAnsi" w:hAnsiTheme="minorHAnsi" w:cs="Arial"/>
                <w:sz w:val="22"/>
                <w:szCs w:val="22"/>
              </w:rPr>
              <w:t>518</w:t>
            </w:r>
          </w:p>
        </w:tc>
      </w:tr>
      <w:tr w:rsidR="00897097" w:rsidRPr="001D52A0" w14:paraId="302D29E6" w14:textId="77777777" w:rsidTr="00897097">
        <w:trPr>
          <w:trHeight w:val="176"/>
          <w:jc w:val="center"/>
        </w:trPr>
        <w:tc>
          <w:tcPr>
            <w:tcW w:w="1762" w:type="dxa"/>
            <w:hideMark/>
          </w:tcPr>
          <w:p w14:paraId="1648CD0A" w14:textId="77777777" w:rsidR="00897097" w:rsidRPr="001D52A0" w:rsidRDefault="00897097" w:rsidP="00A77F46">
            <w:pPr>
              <w:autoSpaceDE w:val="0"/>
              <w:autoSpaceDN w:val="0"/>
              <w:adjustRightInd w:val="0"/>
              <w:ind w:left="465"/>
              <w:jc w:val="both"/>
              <w:rPr>
                <w:rFonts w:asciiTheme="minorHAnsi" w:hAnsiTheme="minorHAnsi" w:cs="Arial"/>
                <w:sz w:val="22"/>
                <w:szCs w:val="22"/>
              </w:rPr>
            </w:pPr>
            <w:r w:rsidRPr="001D52A0">
              <w:rPr>
                <w:rFonts w:asciiTheme="minorHAnsi" w:hAnsiTheme="minorHAnsi" w:cs="Arial"/>
                <w:sz w:val="22"/>
                <w:szCs w:val="22"/>
              </w:rPr>
              <w:t>Hounslow</w:t>
            </w:r>
          </w:p>
        </w:tc>
        <w:tc>
          <w:tcPr>
            <w:tcW w:w="1655" w:type="dxa"/>
            <w:hideMark/>
          </w:tcPr>
          <w:p w14:paraId="01EEB015" w14:textId="77777777" w:rsidR="00897097" w:rsidRPr="001D52A0" w:rsidRDefault="00897097" w:rsidP="00A77F46">
            <w:pPr>
              <w:autoSpaceDE w:val="0"/>
              <w:autoSpaceDN w:val="0"/>
              <w:adjustRightInd w:val="0"/>
              <w:ind w:left="465"/>
              <w:jc w:val="both"/>
              <w:rPr>
                <w:rFonts w:asciiTheme="minorHAnsi" w:hAnsiTheme="minorHAnsi" w:cs="Arial"/>
                <w:sz w:val="22"/>
                <w:szCs w:val="22"/>
              </w:rPr>
            </w:pPr>
            <w:r w:rsidRPr="001D52A0">
              <w:rPr>
                <w:rFonts w:asciiTheme="minorHAnsi" w:hAnsiTheme="minorHAnsi" w:cs="Arial"/>
                <w:sz w:val="22"/>
                <w:szCs w:val="22"/>
              </w:rPr>
              <w:t>7,048</w:t>
            </w:r>
          </w:p>
        </w:tc>
        <w:tc>
          <w:tcPr>
            <w:tcW w:w="1655" w:type="dxa"/>
            <w:hideMark/>
          </w:tcPr>
          <w:p w14:paraId="3CE5D8FD" w14:textId="77777777" w:rsidR="00897097" w:rsidRPr="001D52A0" w:rsidRDefault="00897097" w:rsidP="00A77F46">
            <w:pPr>
              <w:autoSpaceDE w:val="0"/>
              <w:autoSpaceDN w:val="0"/>
              <w:adjustRightInd w:val="0"/>
              <w:ind w:left="465"/>
              <w:jc w:val="both"/>
              <w:rPr>
                <w:rFonts w:asciiTheme="minorHAnsi" w:hAnsiTheme="minorHAnsi" w:cs="Arial"/>
                <w:sz w:val="22"/>
                <w:szCs w:val="22"/>
              </w:rPr>
            </w:pPr>
            <w:r w:rsidRPr="001D52A0">
              <w:rPr>
                <w:rFonts w:asciiTheme="minorHAnsi" w:hAnsiTheme="minorHAnsi" w:cs="Arial"/>
                <w:sz w:val="22"/>
                <w:szCs w:val="22"/>
              </w:rPr>
              <w:t>7,543</w:t>
            </w:r>
          </w:p>
        </w:tc>
        <w:tc>
          <w:tcPr>
            <w:tcW w:w="1882" w:type="dxa"/>
            <w:hideMark/>
          </w:tcPr>
          <w:p w14:paraId="58C24711" w14:textId="77777777" w:rsidR="00897097" w:rsidRPr="001D52A0" w:rsidRDefault="00897097" w:rsidP="00A77F46">
            <w:pPr>
              <w:autoSpaceDE w:val="0"/>
              <w:autoSpaceDN w:val="0"/>
              <w:adjustRightInd w:val="0"/>
              <w:ind w:left="465"/>
              <w:jc w:val="both"/>
              <w:rPr>
                <w:rFonts w:asciiTheme="minorHAnsi" w:hAnsiTheme="minorHAnsi" w:cs="Arial"/>
                <w:sz w:val="22"/>
                <w:szCs w:val="22"/>
              </w:rPr>
            </w:pPr>
            <w:r w:rsidRPr="001D52A0">
              <w:rPr>
                <w:rFonts w:asciiTheme="minorHAnsi" w:hAnsiTheme="minorHAnsi" w:cs="Arial"/>
                <w:sz w:val="22"/>
                <w:szCs w:val="22"/>
              </w:rPr>
              <w:t>495</w:t>
            </w:r>
          </w:p>
        </w:tc>
      </w:tr>
      <w:tr w:rsidR="00897097" w:rsidRPr="001D52A0" w14:paraId="1DF67199" w14:textId="77777777" w:rsidTr="00897097">
        <w:trPr>
          <w:trHeight w:val="352"/>
          <w:jc w:val="center"/>
        </w:trPr>
        <w:tc>
          <w:tcPr>
            <w:tcW w:w="1762" w:type="dxa"/>
            <w:hideMark/>
          </w:tcPr>
          <w:p w14:paraId="4FAD2469" w14:textId="77777777" w:rsidR="00897097" w:rsidRPr="001D52A0" w:rsidRDefault="00897097" w:rsidP="00A77F46">
            <w:pPr>
              <w:autoSpaceDE w:val="0"/>
              <w:autoSpaceDN w:val="0"/>
              <w:adjustRightInd w:val="0"/>
              <w:ind w:left="465"/>
              <w:jc w:val="both"/>
              <w:rPr>
                <w:rFonts w:asciiTheme="minorHAnsi" w:hAnsiTheme="minorHAnsi" w:cs="Arial"/>
                <w:sz w:val="22"/>
                <w:szCs w:val="22"/>
              </w:rPr>
            </w:pPr>
            <w:r w:rsidRPr="001D52A0">
              <w:rPr>
                <w:rFonts w:asciiTheme="minorHAnsi" w:hAnsiTheme="minorHAnsi" w:cs="Arial"/>
                <w:sz w:val="22"/>
                <w:szCs w:val="22"/>
              </w:rPr>
              <w:t>Richmond</w:t>
            </w:r>
          </w:p>
        </w:tc>
        <w:tc>
          <w:tcPr>
            <w:tcW w:w="1655" w:type="dxa"/>
            <w:hideMark/>
          </w:tcPr>
          <w:p w14:paraId="405AB167" w14:textId="77777777" w:rsidR="00897097" w:rsidRPr="001D52A0" w:rsidRDefault="00897097" w:rsidP="00A77F46">
            <w:pPr>
              <w:autoSpaceDE w:val="0"/>
              <w:autoSpaceDN w:val="0"/>
              <w:adjustRightInd w:val="0"/>
              <w:ind w:left="465"/>
              <w:jc w:val="both"/>
              <w:rPr>
                <w:rFonts w:asciiTheme="minorHAnsi" w:hAnsiTheme="minorHAnsi" w:cs="Arial"/>
                <w:sz w:val="22"/>
                <w:szCs w:val="22"/>
              </w:rPr>
            </w:pPr>
            <w:r w:rsidRPr="001D52A0">
              <w:rPr>
                <w:rFonts w:asciiTheme="minorHAnsi" w:hAnsiTheme="minorHAnsi" w:cs="Arial"/>
                <w:sz w:val="22"/>
                <w:szCs w:val="22"/>
              </w:rPr>
              <w:t>4,941</w:t>
            </w:r>
          </w:p>
        </w:tc>
        <w:tc>
          <w:tcPr>
            <w:tcW w:w="1655" w:type="dxa"/>
            <w:hideMark/>
          </w:tcPr>
          <w:p w14:paraId="72548D6A" w14:textId="77777777" w:rsidR="00897097" w:rsidRPr="001D52A0" w:rsidRDefault="00897097" w:rsidP="00A77F46">
            <w:pPr>
              <w:autoSpaceDE w:val="0"/>
              <w:autoSpaceDN w:val="0"/>
              <w:adjustRightInd w:val="0"/>
              <w:ind w:left="465"/>
              <w:jc w:val="both"/>
              <w:rPr>
                <w:rFonts w:asciiTheme="minorHAnsi" w:hAnsiTheme="minorHAnsi" w:cs="Arial"/>
                <w:sz w:val="22"/>
                <w:szCs w:val="22"/>
              </w:rPr>
            </w:pPr>
            <w:r w:rsidRPr="001D52A0">
              <w:rPr>
                <w:rFonts w:asciiTheme="minorHAnsi" w:hAnsiTheme="minorHAnsi" w:cs="Arial"/>
                <w:sz w:val="22"/>
                <w:szCs w:val="22"/>
              </w:rPr>
              <w:t>5,086</w:t>
            </w:r>
          </w:p>
        </w:tc>
        <w:tc>
          <w:tcPr>
            <w:tcW w:w="1882" w:type="dxa"/>
            <w:hideMark/>
          </w:tcPr>
          <w:p w14:paraId="30C202E9" w14:textId="77777777" w:rsidR="00897097" w:rsidRPr="001D52A0" w:rsidRDefault="00897097" w:rsidP="00A77F46">
            <w:pPr>
              <w:autoSpaceDE w:val="0"/>
              <w:autoSpaceDN w:val="0"/>
              <w:adjustRightInd w:val="0"/>
              <w:ind w:left="465"/>
              <w:jc w:val="both"/>
              <w:rPr>
                <w:rFonts w:asciiTheme="minorHAnsi" w:hAnsiTheme="minorHAnsi" w:cs="Arial"/>
                <w:sz w:val="22"/>
                <w:szCs w:val="22"/>
              </w:rPr>
            </w:pPr>
            <w:r w:rsidRPr="001D52A0">
              <w:rPr>
                <w:rFonts w:asciiTheme="minorHAnsi" w:hAnsiTheme="minorHAnsi" w:cs="Arial"/>
                <w:sz w:val="22"/>
                <w:szCs w:val="22"/>
              </w:rPr>
              <w:t>144</w:t>
            </w:r>
          </w:p>
        </w:tc>
      </w:tr>
      <w:tr w:rsidR="00897097" w:rsidRPr="001D52A0" w14:paraId="6F0529E4" w14:textId="77777777" w:rsidTr="00897097">
        <w:trPr>
          <w:trHeight w:val="352"/>
          <w:jc w:val="center"/>
        </w:trPr>
        <w:tc>
          <w:tcPr>
            <w:tcW w:w="1762" w:type="dxa"/>
            <w:hideMark/>
          </w:tcPr>
          <w:p w14:paraId="1270C2F7" w14:textId="77777777" w:rsidR="00897097" w:rsidRPr="001D52A0" w:rsidRDefault="00897097" w:rsidP="00A77F46">
            <w:pPr>
              <w:autoSpaceDE w:val="0"/>
              <w:autoSpaceDN w:val="0"/>
              <w:adjustRightInd w:val="0"/>
              <w:ind w:left="465"/>
              <w:jc w:val="both"/>
              <w:rPr>
                <w:rFonts w:asciiTheme="minorHAnsi" w:hAnsiTheme="minorHAnsi" w:cs="Arial"/>
                <w:b/>
                <w:bCs/>
                <w:sz w:val="22"/>
                <w:szCs w:val="22"/>
              </w:rPr>
            </w:pPr>
            <w:r w:rsidRPr="001D52A0">
              <w:rPr>
                <w:rFonts w:asciiTheme="minorHAnsi" w:hAnsiTheme="minorHAnsi" w:cs="Arial"/>
                <w:b/>
                <w:bCs/>
                <w:sz w:val="22"/>
                <w:szCs w:val="22"/>
              </w:rPr>
              <w:t>Total</w:t>
            </w:r>
          </w:p>
        </w:tc>
        <w:tc>
          <w:tcPr>
            <w:tcW w:w="1655" w:type="dxa"/>
            <w:hideMark/>
          </w:tcPr>
          <w:p w14:paraId="0AF4430B" w14:textId="77777777" w:rsidR="00897097" w:rsidRPr="001D52A0" w:rsidRDefault="00897097" w:rsidP="00A77F46">
            <w:pPr>
              <w:autoSpaceDE w:val="0"/>
              <w:autoSpaceDN w:val="0"/>
              <w:adjustRightInd w:val="0"/>
              <w:ind w:left="465"/>
              <w:jc w:val="both"/>
              <w:rPr>
                <w:rFonts w:asciiTheme="minorHAnsi" w:hAnsiTheme="minorHAnsi" w:cs="Arial"/>
                <w:b/>
                <w:bCs/>
                <w:sz w:val="22"/>
                <w:szCs w:val="22"/>
              </w:rPr>
            </w:pPr>
            <w:r w:rsidRPr="001D52A0">
              <w:rPr>
                <w:rFonts w:asciiTheme="minorHAnsi" w:hAnsiTheme="minorHAnsi" w:cs="Arial"/>
                <w:b/>
                <w:bCs/>
                <w:sz w:val="22"/>
                <w:szCs w:val="22"/>
              </w:rPr>
              <w:t>43,986</w:t>
            </w:r>
          </w:p>
        </w:tc>
        <w:tc>
          <w:tcPr>
            <w:tcW w:w="1655" w:type="dxa"/>
            <w:hideMark/>
          </w:tcPr>
          <w:p w14:paraId="57BCB125" w14:textId="77777777" w:rsidR="00897097" w:rsidRPr="001D52A0" w:rsidRDefault="00897097" w:rsidP="00A77F46">
            <w:pPr>
              <w:autoSpaceDE w:val="0"/>
              <w:autoSpaceDN w:val="0"/>
              <w:adjustRightInd w:val="0"/>
              <w:ind w:left="465"/>
              <w:jc w:val="both"/>
              <w:rPr>
                <w:rFonts w:asciiTheme="minorHAnsi" w:hAnsiTheme="minorHAnsi" w:cs="Arial"/>
                <w:b/>
                <w:bCs/>
                <w:sz w:val="22"/>
                <w:szCs w:val="22"/>
              </w:rPr>
            </w:pPr>
            <w:r w:rsidRPr="001D52A0">
              <w:rPr>
                <w:rFonts w:asciiTheme="minorHAnsi" w:hAnsiTheme="minorHAnsi" w:cs="Arial"/>
                <w:b/>
                <w:bCs/>
                <w:sz w:val="22"/>
                <w:szCs w:val="22"/>
              </w:rPr>
              <w:t>46,352</w:t>
            </w:r>
          </w:p>
        </w:tc>
        <w:tc>
          <w:tcPr>
            <w:tcW w:w="1882" w:type="dxa"/>
            <w:hideMark/>
          </w:tcPr>
          <w:p w14:paraId="7CE4C276" w14:textId="77777777" w:rsidR="00897097" w:rsidRPr="001D52A0" w:rsidRDefault="00897097" w:rsidP="00A77F46">
            <w:pPr>
              <w:autoSpaceDE w:val="0"/>
              <w:autoSpaceDN w:val="0"/>
              <w:adjustRightInd w:val="0"/>
              <w:ind w:left="465"/>
              <w:jc w:val="both"/>
              <w:rPr>
                <w:rFonts w:asciiTheme="minorHAnsi" w:hAnsiTheme="minorHAnsi" w:cs="Arial"/>
                <w:b/>
                <w:bCs/>
                <w:sz w:val="22"/>
                <w:szCs w:val="22"/>
              </w:rPr>
            </w:pPr>
            <w:r w:rsidRPr="001D52A0">
              <w:rPr>
                <w:rFonts w:asciiTheme="minorHAnsi" w:hAnsiTheme="minorHAnsi" w:cs="Arial"/>
                <w:b/>
                <w:bCs/>
                <w:sz w:val="22"/>
                <w:szCs w:val="22"/>
              </w:rPr>
              <w:t>2,365</w:t>
            </w:r>
          </w:p>
        </w:tc>
      </w:tr>
    </w:tbl>
    <w:p w14:paraId="1F6E8ED2" w14:textId="77777777" w:rsidR="003C500D" w:rsidRPr="001D52A0" w:rsidRDefault="003C500D" w:rsidP="004E4209">
      <w:pPr>
        <w:numPr>
          <w:ilvl w:val="1"/>
          <w:numId w:val="21"/>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The movement in the disposal costs of borough collected waste is reflected here.</w:t>
      </w:r>
    </w:p>
    <w:p w14:paraId="6F69D9E4" w14:textId="77777777" w:rsidR="004E17AF" w:rsidRPr="001D52A0" w:rsidRDefault="004E17AF" w:rsidP="004E4209">
      <w:pPr>
        <w:numPr>
          <w:ilvl w:val="1"/>
          <w:numId w:val="21"/>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I</w:t>
      </w:r>
      <w:r w:rsidR="008E4A75" w:rsidRPr="001D52A0">
        <w:rPr>
          <w:rFonts w:asciiTheme="minorHAnsi" w:hAnsiTheme="minorHAnsi" w:cs="Arial"/>
          <w:sz w:val="22"/>
          <w:szCs w:val="22"/>
        </w:rPr>
        <w:t xml:space="preserve">t </w:t>
      </w:r>
      <w:r w:rsidR="005350A0" w:rsidRPr="001D52A0">
        <w:rPr>
          <w:rFonts w:asciiTheme="minorHAnsi" w:hAnsiTheme="minorHAnsi" w:cs="Arial"/>
          <w:sz w:val="22"/>
          <w:szCs w:val="22"/>
        </w:rPr>
        <w:t xml:space="preserve">is </w:t>
      </w:r>
      <w:r w:rsidR="008E4A75" w:rsidRPr="001D52A0">
        <w:rPr>
          <w:rFonts w:asciiTheme="minorHAnsi" w:hAnsiTheme="minorHAnsi" w:cs="Arial"/>
          <w:sz w:val="22"/>
          <w:szCs w:val="22"/>
        </w:rPr>
        <w:t xml:space="preserve">worth repeating that should borough waste volumes be </w:t>
      </w:r>
      <w:r w:rsidRPr="001D52A0">
        <w:rPr>
          <w:rFonts w:asciiTheme="minorHAnsi" w:hAnsiTheme="minorHAnsi" w:cs="Arial"/>
          <w:sz w:val="22"/>
          <w:szCs w:val="22"/>
        </w:rPr>
        <w:t xml:space="preserve">higher or </w:t>
      </w:r>
      <w:r w:rsidR="008E4A75" w:rsidRPr="001D52A0">
        <w:rPr>
          <w:rFonts w:asciiTheme="minorHAnsi" w:hAnsiTheme="minorHAnsi" w:cs="Arial"/>
          <w:sz w:val="22"/>
          <w:szCs w:val="22"/>
        </w:rPr>
        <w:t xml:space="preserve">lower than </w:t>
      </w:r>
      <w:r w:rsidR="00A25974" w:rsidRPr="001D52A0">
        <w:rPr>
          <w:rFonts w:asciiTheme="minorHAnsi" w:hAnsiTheme="minorHAnsi" w:cs="Arial"/>
          <w:sz w:val="22"/>
          <w:szCs w:val="22"/>
        </w:rPr>
        <w:t>f</w:t>
      </w:r>
      <w:r w:rsidR="008E4A75" w:rsidRPr="001D52A0">
        <w:rPr>
          <w:rFonts w:asciiTheme="minorHAnsi" w:hAnsiTheme="minorHAnsi" w:cs="Arial"/>
          <w:sz w:val="22"/>
          <w:szCs w:val="22"/>
        </w:rPr>
        <w:t xml:space="preserve">orecast, then each quarter </w:t>
      </w:r>
      <w:r w:rsidR="00FA7F24" w:rsidRPr="001D52A0">
        <w:rPr>
          <w:rFonts w:asciiTheme="minorHAnsi" w:hAnsiTheme="minorHAnsi" w:cs="Arial"/>
          <w:sz w:val="22"/>
          <w:szCs w:val="22"/>
        </w:rPr>
        <w:t xml:space="preserve">boroughs </w:t>
      </w:r>
      <w:r w:rsidR="008E4A75" w:rsidRPr="001D52A0">
        <w:rPr>
          <w:rFonts w:asciiTheme="minorHAnsi" w:hAnsiTheme="minorHAnsi" w:cs="Arial"/>
          <w:sz w:val="22"/>
          <w:szCs w:val="22"/>
        </w:rPr>
        <w:t xml:space="preserve">will be </w:t>
      </w:r>
      <w:r w:rsidRPr="001D52A0">
        <w:rPr>
          <w:rFonts w:asciiTheme="minorHAnsi" w:hAnsiTheme="minorHAnsi" w:cs="Arial"/>
          <w:sz w:val="22"/>
          <w:szCs w:val="22"/>
        </w:rPr>
        <w:t xml:space="preserve">charged or </w:t>
      </w:r>
      <w:r w:rsidR="008E4A75" w:rsidRPr="001D52A0">
        <w:rPr>
          <w:rFonts w:asciiTheme="minorHAnsi" w:hAnsiTheme="minorHAnsi" w:cs="Arial"/>
          <w:sz w:val="22"/>
          <w:szCs w:val="22"/>
        </w:rPr>
        <w:t>refunded a sum to ensure they pay only for what is actually delivered.</w:t>
      </w:r>
      <w:r w:rsidRPr="001D52A0">
        <w:rPr>
          <w:rFonts w:asciiTheme="minorHAnsi" w:hAnsiTheme="minorHAnsi" w:cs="Arial"/>
          <w:sz w:val="22"/>
          <w:szCs w:val="22"/>
        </w:rPr>
        <w:t xml:space="preserve"> </w:t>
      </w:r>
    </w:p>
    <w:p w14:paraId="4AD8E43B" w14:textId="111B737F" w:rsidR="00C50BBA" w:rsidRPr="001D52A0" w:rsidRDefault="00673C76" w:rsidP="004E4209">
      <w:pPr>
        <w:numPr>
          <w:ilvl w:val="1"/>
          <w:numId w:val="21"/>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The second, PAYT (SERC) component relates to the £</w:t>
      </w:r>
      <w:r w:rsidR="00B97D96" w:rsidRPr="001D52A0">
        <w:rPr>
          <w:rFonts w:asciiTheme="minorHAnsi" w:hAnsiTheme="minorHAnsi" w:cs="Arial"/>
          <w:sz w:val="22"/>
          <w:szCs w:val="22"/>
        </w:rPr>
        <w:t>11.0</w:t>
      </w:r>
      <w:r w:rsidRPr="001D52A0">
        <w:rPr>
          <w:rFonts w:asciiTheme="minorHAnsi" w:hAnsiTheme="minorHAnsi" w:cs="Arial"/>
          <w:sz w:val="22"/>
          <w:szCs w:val="22"/>
        </w:rPr>
        <w:t xml:space="preserve"> million SERC cost, equivalent </w:t>
      </w:r>
      <w:r w:rsidR="00E217A4" w:rsidRPr="001D52A0">
        <w:rPr>
          <w:rFonts w:asciiTheme="minorHAnsi" w:hAnsiTheme="minorHAnsi" w:cs="Arial"/>
          <w:sz w:val="22"/>
          <w:szCs w:val="22"/>
        </w:rPr>
        <w:t>to</w:t>
      </w:r>
      <w:r w:rsidRPr="001D52A0">
        <w:rPr>
          <w:rFonts w:asciiTheme="minorHAnsi" w:hAnsiTheme="minorHAnsi" w:cs="Arial"/>
          <w:sz w:val="22"/>
          <w:szCs w:val="22"/>
        </w:rPr>
        <w:t xml:space="preserve"> £</w:t>
      </w:r>
      <w:r w:rsidR="00B97D96" w:rsidRPr="001D52A0">
        <w:rPr>
          <w:rFonts w:asciiTheme="minorHAnsi" w:hAnsiTheme="minorHAnsi" w:cs="Arial"/>
          <w:sz w:val="22"/>
          <w:szCs w:val="22"/>
        </w:rPr>
        <w:t>29.65</w:t>
      </w:r>
      <w:r w:rsidRPr="001D52A0">
        <w:rPr>
          <w:rFonts w:asciiTheme="minorHAnsi" w:hAnsiTheme="minorHAnsi" w:cs="Arial"/>
          <w:sz w:val="22"/>
          <w:szCs w:val="22"/>
        </w:rPr>
        <w:t xml:space="preserve"> per tonne</w:t>
      </w:r>
      <w:r w:rsidR="00E217A4" w:rsidRPr="001D52A0">
        <w:rPr>
          <w:rFonts w:asciiTheme="minorHAnsi" w:hAnsiTheme="minorHAnsi" w:cs="Arial"/>
          <w:sz w:val="22"/>
          <w:szCs w:val="22"/>
        </w:rPr>
        <w:t xml:space="preserve"> (202</w:t>
      </w:r>
      <w:r w:rsidR="00B97D96" w:rsidRPr="001D52A0">
        <w:rPr>
          <w:rFonts w:asciiTheme="minorHAnsi" w:hAnsiTheme="minorHAnsi" w:cs="Arial"/>
          <w:sz w:val="22"/>
          <w:szCs w:val="22"/>
        </w:rPr>
        <w:t>3/24</w:t>
      </w:r>
      <w:r w:rsidR="00E217A4" w:rsidRPr="001D52A0">
        <w:rPr>
          <w:rFonts w:asciiTheme="minorHAnsi" w:hAnsiTheme="minorHAnsi" w:cs="Arial"/>
          <w:sz w:val="22"/>
          <w:szCs w:val="22"/>
        </w:rPr>
        <w:t>: £</w:t>
      </w:r>
      <w:r w:rsidR="00B97D96" w:rsidRPr="001D52A0">
        <w:rPr>
          <w:rFonts w:asciiTheme="minorHAnsi" w:hAnsiTheme="minorHAnsi" w:cs="Arial"/>
          <w:sz w:val="22"/>
          <w:szCs w:val="22"/>
        </w:rPr>
        <w:t>24.43</w:t>
      </w:r>
      <w:r w:rsidR="00E217A4" w:rsidRPr="001D52A0">
        <w:rPr>
          <w:rFonts w:asciiTheme="minorHAnsi" w:hAnsiTheme="minorHAnsi" w:cs="Arial"/>
          <w:sz w:val="22"/>
          <w:szCs w:val="22"/>
        </w:rPr>
        <w:t>)</w:t>
      </w:r>
      <w:r w:rsidRPr="001D52A0">
        <w:rPr>
          <w:rFonts w:asciiTheme="minorHAnsi" w:hAnsiTheme="minorHAnsi" w:cs="Arial"/>
          <w:sz w:val="22"/>
          <w:szCs w:val="22"/>
        </w:rPr>
        <w:t>. This will initially be apportioned and levied on the basis of 202</w:t>
      </w:r>
      <w:r w:rsidR="00121817" w:rsidRPr="001D52A0">
        <w:rPr>
          <w:rFonts w:asciiTheme="minorHAnsi" w:hAnsiTheme="minorHAnsi" w:cs="Arial"/>
          <w:sz w:val="22"/>
          <w:szCs w:val="22"/>
        </w:rPr>
        <w:t>3</w:t>
      </w:r>
      <w:r w:rsidRPr="001D52A0">
        <w:rPr>
          <w:rFonts w:asciiTheme="minorHAnsi" w:hAnsiTheme="minorHAnsi" w:cs="Arial"/>
          <w:sz w:val="22"/>
          <w:szCs w:val="22"/>
        </w:rPr>
        <w:t>/2</w:t>
      </w:r>
      <w:r w:rsidR="00121817" w:rsidRPr="001D52A0">
        <w:rPr>
          <w:rFonts w:asciiTheme="minorHAnsi" w:hAnsiTheme="minorHAnsi" w:cs="Arial"/>
          <w:sz w:val="22"/>
          <w:szCs w:val="22"/>
        </w:rPr>
        <w:t>4</w:t>
      </w:r>
      <w:r w:rsidRPr="001D52A0">
        <w:rPr>
          <w:rFonts w:asciiTheme="minorHAnsi" w:hAnsiTheme="minorHAnsi" w:cs="Arial"/>
          <w:sz w:val="22"/>
          <w:szCs w:val="22"/>
        </w:rPr>
        <w:t xml:space="preserve"> budgeted residual waste tonnages excluding gully waste.</w:t>
      </w:r>
      <w:r w:rsidR="00A25974" w:rsidRPr="001D52A0">
        <w:rPr>
          <w:rFonts w:asciiTheme="minorHAnsi" w:hAnsiTheme="minorHAnsi" w:cs="Arial"/>
          <w:sz w:val="22"/>
          <w:szCs w:val="22"/>
        </w:rPr>
        <w:t xml:space="preserve"> A</w:t>
      </w:r>
      <w:r w:rsidRPr="001D52A0">
        <w:rPr>
          <w:rFonts w:asciiTheme="minorHAnsi" w:hAnsiTheme="minorHAnsi" w:cs="Arial"/>
          <w:sz w:val="22"/>
          <w:szCs w:val="22"/>
        </w:rPr>
        <w:t xml:space="preserve"> quarterly exercise will then adjust this sum to reflect the actual </w:t>
      </w:r>
      <w:r w:rsidR="00216EC9" w:rsidRPr="001D52A0">
        <w:rPr>
          <w:rFonts w:asciiTheme="minorHAnsi" w:hAnsiTheme="minorHAnsi" w:cs="Arial"/>
          <w:sz w:val="22"/>
          <w:szCs w:val="22"/>
        </w:rPr>
        <w:t xml:space="preserve">residual </w:t>
      </w:r>
      <w:r w:rsidRPr="001D52A0">
        <w:rPr>
          <w:rFonts w:asciiTheme="minorHAnsi" w:hAnsiTheme="minorHAnsi" w:cs="Arial"/>
          <w:sz w:val="22"/>
          <w:szCs w:val="22"/>
        </w:rPr>
        <w:t xml:space="preserve">tonnages delivered that quarter with a reimbursement or additional charge. </w:t>
      </w:r>
      <w:r w:rsidR="00FF4170" w:rsidRPr="001D52A0">
        <w:rPr>
          <w:rFonts w:asciiTheme="minorHAnsi" w:hAnsiTheme="minorHAnsi" w:cs="Arial"/>
          <w:sz w:val="22"/>
          <w:szCs w:val="22"/>
        </w:rPr>
        <w:t xml:space="preserve">The initial apportioned annual charge </w:t>
      </w:r>
      <w:r w:rsidR="00A25974" w:rsidRPr="001D52A0">
        <w:rPr>
          <w:rFonts w:asciiTheme="minorHAnsi" w:hAnsiTheme="minorHAnsi" w:cs="Arial"/>
          <w:sz w:val="22"/>
          <w:szCs w:val="22"/>
        </w:rPr>
        <w:t xml:space="preserve">is </w:t>
      </w:r>
      <w:r w:rsidR="00FF4170" w:rsidRPr="001D52A0">
        <w:rPr>
          <w:rFonts w:asciiTheme="minorHAnsi" w:hAnsiTheme="minorHAnsi" w:cs="Arial"/>
          <w:sz w:val="22"/>
          <w:szCs w:val="22"/>
        </w:rPr>
        <w:t xml:space="preserve">summarised below. </w:t>
      </w:r>
    </w:p>
    <w:tbl>
      <w:tblPr>
        <w:tblStyle w:val="TableGrid"/>
        <w:tblW w:w="0" w:type="auto"/>
        <w:jc w:val="center"/>
        <w:tblLook w:val="04A0" w:firstRow="1" w:lastRow="0" w:firstColumn="1" w:lastColumn="0" w:noHBand="0" w:noVBand="1"/>
      </w:tblPr>
      <w:tblGrid>
        <w:gridCol w:w="1711"/>
        <w:gridCol w:w="1692"/>
        <w:gridCol w:w="1692"/>
        <w:gridCol w:w="1720"/>
      </w:tblGrid>
      <w:tr w:rsidR="00B97D96" w:rsidRPr="001D52A0" w14:paraId="2AFACDFC" w14:textId="77777777" w:rsidTr="00B97D96">
        <w:trPr>
          <w:trHeight w:val="3"/>
          <w:jc w:val="center"/>
        </w:trPr>
        <w:tc>
          <w:tcPr>
            <w:tcW w:w="1711" w:type="dxa"/>
            <w:hideMark/>
          </w:tcPr>
          <w:p w14:paraId="65F123E9" w14:textId="77777777" w:rsidR="00B97D96" w:rsidRPr="001D52A0" w:rsidRDefault="00B97D96" w:rsidP="00A77F46">
            <w:pPr>
              <w:autoSpaceDE w:val="0"/>
              <w:autoSpaceDN w:val="0"/>
              <w:adjustRightInd w:val="0"/>
              <w:jc w:val="both"/>
              <w:rPr>
                <w:rFonts w:asciiTheme="minorHAnsi" w:hAnsiTheme="minorHAnsi" w:cs="Arial"/>
                <w:b/>
                <w:bCs/>
                <w:sz w:val="22"/>
                <w:szCs w:val="22"/>
              </w:rPr>
            </w:pPr>
            <w:r w:rsidRPr="001D52A0">
              <w:rPr>
                <w:rFonts w:asciiTheme="minorHAnsi" w:hAnsiTheme="minorHAnsi" w:cs="Arial"/>
                <w:b/>
                <w:bCs/>
                <w:sz w:val="22"/>
                <w:szCs w:val="22"/>
              </w:rPr>
              <w:lastRenderedPageBreak/>
              <w:t>Borough</w:t>
            </w:r>
          </w:p>
        </w:tc>
        <w:tc>
          <w:tcPr>
            <w:tcW w:w="1692" w:type="dxa"/>
            <w:hideMark/>
          </w:tcPr>
          <w:p w14:paraId="6EFB8A9E" w14:textId="77777777" w:rsidR="00B97D96" w:rsidRPr="001D52A0" w:rsidRDefault="00B97D96" w:rsidP="00A77F46">
            <w:pPr>
              <w:autoSpaceDE w:val="0"/>
              <w:autoSpaceDN w:val="0"/>
              <w:adjustRightInd w:val="0"/>
              <w:jc w:val="both"/>
              <w:rPr>
                <w:rFonts w:asciiTheme="minorHAnsi" w:hAnsiTheme="minorHAnsi" w:cs="Arial"/>
                <w:b/>
                <w:bCs/>
                <w:sz w:val="22"/>
                <w:szCs w:val="22"/>
              </w:rPr>
            </w:pPr>
            <w:r w:rsidRPr="001D52A0">
              <w:rPr>
                <w:rFonts w:asciiTheme="minorHAnsi" w:hAnsiTheme="minorHAnsi" w:cs="Arial"/>
                <w:b/>
                <w:bCs/>
                <w:sz w:val="22"/>
                <w:szCs w:val="22"/>
              </w:rPr>
              <w:t>2023/24 PAYT SERC charge £000’s</w:t>
            </w:r>
          </w:p>
        </w:tc>
        <w:tc>
          <w:tcPr>
            <w:tcW w:w="1692" w:type="dxa"/>
            <w:hideMark/>
          </w:tcPr>
          <w:p w14:paraId="4301BB98" w14:textId="77777777" w:rsidR="00B97D96" w:rsidRPr="001D52A0" w:rsidRDefault="00B97D96" w:rsidP="00A77F46">
            <w:pPr>
              <w:autoSpaceDE w:val="0"/>
              <w:autoSpaceDN w:val="0"/>
              <w:adjustRightInd w:val="0"/>
              <w:jc w:val="both"/>
              <w:rPr>
                <w:rFonts w:asciiTheme="minorHAnsi" w:hAnsiTheme="minorHAnsi" w:cs="Arial"/>
                <w:b/>
                <w:bCs/>
                <w:sz w:val="22"/>
                <w:szCs w:val="22"/>
              </w:rPr>
            </w:pPr>
            <w:r w:rsidRPr="001D52A0">
              <w:rPr>
                <w:rFonts w:asciiTheme="minorHAnsi" w:hAnsiTheme="minorHAnsi" w:cs="Arial"/>
                <w:b/>
                <w:bCs/>
                <w:sz w:val="22"/>
                <w:szCs w:val="22"/>
              </w:rPr>
              <w:t>2024/25 PAYT SERC charge £000’s</w:t>
            </w:r>
          </w:p>
        </w:tc>
        <w:tc>
          <w:tcPr>
            <w:tcW w:w="1720" w:type="dxa"/>
            <w:hideMark/>
          </w:tcPr>
          <w:p w14:paraId="16A0DA51" w14:textId="77777777" w:rsidR="00B97D96" w:rsidRPr="001D52A0" w:rsidRDefault="00B97D96" w:rsidP="00A77F46">
            <w:pPr>
              <w:jc w:val="center"/>
              <w:rPr>
                <w:rFonts w:asciiTheme="minorHAnsi" w:hAnsiTheme="minorHAnsi" w:cs="Arial"/>
                <w:b/>
                <w:bCs/>
                <w:color w:val="000000"/>
                <w:sz w:val="22"/>
                <w:szCs w:val="22"/>
                <w:lang w:eastAsia="en-GB"/>
              </w:rPr>
            </w:pPr>
          </w:p>
          <w:p w14:paraId="34869B26" w14:textId="3514A7A9" w:rsidR="00B97D96" w:rsidRPr="001D52A0" w:rsidRDefault="00B97D96" w:rsidP="00A77F46">
            <w:pPr>
              <w:jc w:val="center"/>
              <w:rPr>
                <w:rFonts w:asciiTheme="minorHAnsi" w:hAnsiTheme="minorHAnsi" w:cs="Arial"/>
                <w:b/>
                <w:bCs/>
                <w:color w:val="000000"/>
                <w:sz w:val="22"/>
                <w:szCs w:val="22"/>
                <w:lang w:eastAsia="en-GB"/>
              </w:rPr>
            </w:pPr>
            <w:r w:rsidRPr="001D52A0">
              <w:rPr>
                <w:rFonts w:asciiTheme="minorHAnsi" w:hAnsiTheme="minorHAnsi" w:cs="Arial"/>
                <w:b/>
                <w:bCs/>
                <w:color w:val="000000"/>
                <w:sz w:val="22"/>
                <w:szCs w:val="22"/>
                <w:lang w:eastAsia="en-GB"/>
              </w:rPr>
              <w:t>Growth          £000’s</w:t>
            </w:r>
          </w:p>
        </w:tc>
      </w:tr>
      <w:tr w:rsidR="00B97D96" w:rsidRPr="001D52A0" w14:paraId="15CD60B9" w14:textId="77777777" w:rsidTr="00B97D96">
        <w:trPr>
          <w:trHeight w:val="357"/>
          <w:jc w:val="center"/>
        </w:trPr>
        <w:tc>
          <w:tcPr>
            <w:tcW w:w="1711" w:type="dxa"/>
            <w:hideMark/>
          </w:tcPr>
          <w:p w14:paraId="72BCF377" w14:textId="77777777" w:rsidR="00B97D96" w:rsidRPr="001D52A0" w:rsidRDefault="00B97D96" w:rsidP="00A77F46">
            <w:pPr>
              <w:autoSpaceDE w:val="0"/>
              <w:autoSpaceDN w:val="0"/>
              <w:adjustRightInd w:val="0"/>
              <w:jc w:val="both"/>
              <w:rPr>
                <w:rFonts w:asciiTheme="minorHAnsi" w:hAnsiTheme="minorHAnsi" w:cs="Arial"/>
                <w:sz w:val="22"/>
                <w:szCs w:val="22"/>
              </w:rPr>
            </w:pPr>
            <w:r w:rsidRPr="001D52A0">
              <w:rPr>
                <w:rFonts w:asciiTheme="minorHAnsi" w:hAnsiTheme="minorHAnsi" w:cs="Arial"/>
                <w:sz w:val="22"/>
                <w:szCs w:val="22"/>
              </w:rPr>
              <w:t>Brent</w:t>
            </w:r>
          </w:p>
        </w:tc>
        <w:tc>
          <w:tcPr>
            <w:tcW w:w="1692" w:type="dxa"/>
            <w:hideMark/>
          </w:tcPr>
          <w:p w14:paraId="55D521E7" w14:textId="77777777" w:rsidR="00B97D96" w:rsidRPr="001D52A0" w:rsidRDefault="00B97D96" w:rsidP="00A77F46">
            <w:pPr>
              <w:autoSpaceDE w:val="0"/>
              <w:autoSpaceDN w:val="0"/>
              <w:adjustRightInd w:val="0"/>
              <w:jc w:val="both"/>
              <w:rPr>
                <w:rFonts w:asciiTheme="minorHAnsi" w:hAnsiTheme="minorHAnsi" w:cs="Arial"/>
                <w:sz w:val="22"/>
                <w:szCs w:val="22"/>
              </w:rPr>
            </w:pPr>
            <w:r w:rsidRPr="001D52A0">
              <w:rPr>
                <w:rFonts w:asciiTheme="minorHAnsi" w:hAnsiTheme="minorHAnsi" w:cs="Arial"/>
                <w:sz w:val="22"/>
                <w:szCs w:val="22"/>
              </w:rPr>
              <w:t>1,710</w:t>
            </w:r>
          </w:p>
        </w:tc>
        <w:tc>
          <w:tcPr>
            <w:tcW w:w="1692" w:type="dxa"/>
            <w:hideMark/>
          </w:tcPr>
          <w:p w14:paraId="6C82768E" w14:textId="77777777" w:rsidR="00B97D96" w:rsidRPr="001D52A0" w:rsidRDefault="00B97D96" w:rsidP="00A77F46">
            <w:pPr>
              <w:autoSpaceDE w:val="0"/>
              <w:autoSpaceDN w:val="0"/>
              <w:adjustRightInd w:val="0"/>
              <w:jc w:val="both"/>
              <w:rPr>
                <w:rFonts w:asciiTheme="minorHAnsi" w:hAnsiTheme="minorHAnsi" w:cs="Arial"/>
                <w:sz w:val="22"/>
                <w:szCs w:val="22"/>
              </w:rPr>
            </w:pPr>
            <w:r w:rsidRPr="001D52A0">
              <w:rPr>
                <w:rFonts w:asciiTheme="minorHAnsi" w:hAnsiTheme="minorHAnsi" w:cs="Arial"/>
                <w:sz w:val="22"/>
                <w:szCs w:val="22"/>
              </w:rPr>
              <w:t>2,073</w:t>
            </w:r>
          </w:p>
        </w:tc>
        <w:tc>
          <w:tcPr>
            <w:tcW w:w="1720" w:type="dxa"/>
            <w:hideMark/>
          </w:tcPr>
          <w:p w14:paraId="640B050B" w14:textId="77777777" w:rsidR="00B97D96" w:rsidRPr="001D52A0" w:rsidRDefault="00B97D96" w:rsidP="00A77F46">
            <w:pPr>
              <w:autoSpaceDE w:val="0"/>
              <w:autoSpaceDN w:val="0"/>
              <w:adjustRightInd w:val="0"/>
              <w:jc w:val="both"/>
              <w:rPr>
                <w:rFonts w:asciiTheme="minorHAnsi" w:hAnsiTheme="minorHAnsi" w:cs="Arial"/>
                <w:sz w:val="22"/>
                <w:szCs w:val="22"/>
              </w:rPr>
            </w:pPr>
            <w:r w:rsidRPr="001D52A0">
              <w:rPr>
                <w:rFonts w:asciiTheme="minorHAnsi" w:hAnsiTheme="minorHAnsi" w:cs="Arial"/>
                <w:sz w:val="22"/>
                <w:szCs w:val="22"/>
              </w:rPr>
              <w:t>363</w:t>
            </w:r>
          </w:p>
        </w:tc>
      </w:tr>
      <w:tr w:rsidR="00B97D96" w:rsidRPr="001D52A0" w14:paraId="1362D396" w14:textId="77777777" w:rsidTr="00B97D96">
        <w:trPr>
          <w:jc w:val="center"/>
        </w:trPr>
        <w:tc>
          <w:tcPr>
            <w:tcW w:w="1711" w:type="dxa"/>
            <w:hideMark/>
          </w:tcPr>
          <w:p w14:paraId="03045800" w14:textId="77777777" w:rsidR="00B97D96" w:rsidRPr="001D52A0" w:rsidRDefault="00B97D96" w:rsidP="00A77F46">
            <w:pPr>
              <w:autoSpaceDE w:val="0"/>
              <w:autoSpaceDN w:val="0"/>
              <w:adjustRightInd w:val="0"/>
              <w:jc w:val="both"/>
              <w:rPr>
                <w:rFonts w:asciiTheme="minorHAnsi" w:hAnsiTheme="minorHAnsi" w:cs="Arial"/>
                <w:sz w:val="22"/>
                <w:szCs w:val="22"/>
              </w:rPr>
            </w:pPr>
            <w:r w:rsidRPr="001D52A0">
              <w:rPr>
                <w:rFonts w:asciiTheme="minorHAnsi" w:hAnsiTheme="minorHAnsi" w:cs="Arial"/>
                <w:sz w:val="22"/>
                <w:szCs w:val="22"/>
              </w:rPr>
              <w:t>Ealing</w:t>
            </w:r>
          </w:p>
        </w:tc>
        <w:tc>
          <w:tcPr>
            <w:tcW w:w="1692" w:type="dxa"/>
            <w:hideMark/>
          </w:tcPr>
          <w:p w14:paraId="58B0B3B7" w14:textId="77777777" w:rsidR="00B97D96" w:rsidRPr="001D52A0" w:rsidRDefault="00B97D96" w:rsidP="00A77F46">
            <w:pPr>
              <w:autoSpaceDE w:val="0"/>
              <w:autoSpaceDN w:val="0"/>
              <w:adjustRightInd w:val="0"/>
              <w:jc w:val="both"/>
              <w:rPr>
                <w:rFonts w:asciiTheme="minorHAnsi" w:hAnsiTheme="minorHAnsi" w:cs="Arial"/>
                <w:sz w:val="22"/>
                <w:szCs w:val="22"/>
              </w:rPr>
            </w:pPr>
            <w:r w:rsidRPr="001D52A0">
              <w:rPr>
                <w:rFonts w:asciiTheme="minorHAnsi" w:hAnsiTheme="minorHAnsi" w:cs="Arial"/>
                <w:sz w:val="22"/>
                <w:szCs w:val="22"/>
              </w:rPr>
              <w:t>1,929</w:t>
            </w:r>
          </w:p>
        </w:tc>
        <w:tc>
          <w:tcPr>
            <w:tcW w:w="1692" w:type="dxa"/>
            <w:hideMark/>
          </w:tcPr>
          <w:p w14:paraId="0DEB6AC6" w14:textId="77777777" w:rsidR="00B97D96" w:rsidRPr="001D52A0" w:rsidRDefault="00B97D96" w:rsidP="00A77F46">
            <w:pPr>
              <w:autoSpaceDE w:val="0"/>
              <w:autoSpaceDN w:val="0"/>
              <w:adjustRightInd w:val="0"/>
              <w:jc w:val="both"/>
              <w:rPr>
                <w:rFonts w:asciiTheme="minorHAnsi" w:hAnsiTheme="minorHAnsi" w:cs="Arial"/>
                <w:sz w:val="22"/>
                <w:szCs w:val="22"/>
              </w:rPr>
            </w:pPr>
            <w:r w:rsidRPr="001D52A0">
              <w:rPr>
                <w:rFonts w:asciiTheme="minorHAnsi" w:hAnsiTheme="minorHAnsi" w:cs="Arial"/>
                <w:sz w:val="22"/>
                <w:szCs w:val="22"/>
              </w:rPr>
              <w:t>2,387</w:t>
            </w:r>
          </w:p>
        </w:tc>
        <w:tc>
          <w:tcPr>
            <w:tcW w:w="1720" w:type="dxa"/>
            <w:hideMark/>
          </w:tcPr>
          <w:p w14:paraId="1B6BD8A4" w14:textId="77777777" w:rsidR="00B97D96" w:rsidRPr="001D52A0" w:rsidRDefault="00B97D96" w:rsidP="00A77F46">
            <w:pPr>
              <w:autoSpaceDE w:val="0"/>
              <w:autoSpaceDN w:val="0"/>
              <w:adjustRightInd w:val="0"/>
              <w:jc w:val="both"/>
              <w:rPr>
                <w:rFonts w:asciiTheme="minorHAnsi" w:hAnsiTheme="minorHAnsi" w:cs="Arial"/>
                <w:sz w:val="22"/>
                <w:szCs w:val="22"/>
              </w:rPr>
            </w:pPr>
            <w:r w:rsidRPr="001D52A0">
              <w:rPr>
                <w:rFonts w:asciiTheme="minorHAnsi" w:hAnsiTheme="minorHAnsi" w:cs="Arial"/>
                <w:sz w:val="22"/>
                <w:szCs w:val="22"/>
              </w:rPr>
              <w:t>458</w:t>
            </w:r>
          </w:p>
        </w:tc>
      </w:tr>
      <w:tr w:rsidR="00B97D96" w:rsidRPr="001D52A0" w14:paraId="3B0CB955" w14:textId="77777777" w:rsidTr="00B97D96">
        <w:trPr>
          <w:jc w:val="center"/>
        </w:trPr>
        <w:tc>
          <w:tcPr>
            <w:tcW w:w="1711" w:type="dxa"/>
            <w:hideMark/>
          </w:tcPr>
          <w:p w14:paraId="515BEA52" w14:textId="77777777" w:rsidR="00B97D96" w:rsidRPr="001D52A0" w:rsidRDefault="00B97D96" w:rsidP="00A77F46">
            <w:pPr>
              <w:autoSpaceDE w:val="0"/>
              <w:autoSpaceDN w:val="0"/>
              <w:adjustRightInd w:val="0"/>
              <w:jc w:val="both"/>
              <w:rPr>
                <w:rFonts w:asciiTheme="minorHAnsi" w:hAnsiTheme="minorHAnsi" w:cs="Arial"/>
                <w:sz w:val="22"/>
                <w:szCs w:val="22"/>
              </w:rPr>
            </w:pPr>
            <w:r w:rsidRPr="001D52A0">
              <w:rPr>
                <w:rFonts w:asciiTheme="minorHAnsi" w:hAnsiTheme="minorHAnsi" w:cs="Arial"/>
                <w:sz w:val="22"/>
                <w:szCs w:val="22"/>
              </w:rPr>
              <w:t>Harrow</w:t>
            </w:r>
          </w:p>
        </w:tc>
        <w:tc>
          <w:tcPr>
            <w:tcW w:w="1692" w:type="dxa"/>
            <w:hideMark/>
          </w:tcPr>
          <w:p w14:paraId="4E393AE8" w14:textId="77777777" w:rsidR="00B97D96" w:rsidRPr="001D52A0" w:rsidRDefault="00B97D96" w:rsidP="00A77F46">
            <w:pPr>
              <w:autoSpaceDE w:val="0"/>
              <w:autoSpaceDN w:val="0"/>
              <w:adjustRightInd w:val="0"/>
              <w:jc w:val="both"/>
              <w:rPr>
                <w:rFonts w:asciiTheme="minorHAnsi" w:hAnsiTheme="minorHAnsi" w:cs="Arial"/>
                <w:sz w:val="22"/>
                <w:szCs w:val="22"/>
              </w:rPr>
            </w:pPr>
            <w:r w:rsidRPr="001D52A0">
              <w:rPr>
                <w:rFonts w:asciiTheme="minorHAnsi" w:hAnsiTheme="minorHAnsi" w:cs="Arial"/>
                <w:sz w:val="22"/>
                <w:szCs w:val="22"/>
              </w:rPr>
              <w:t>1,342</w:t>
            </w:r>
          </w:p>
        </w:tc>
        <w:tc>
          <w:tcPr>
            <w:tcW w:w="1692" w:type="dxa"/>
            <w:hideMark/>
          </w:tcPr>
          <w:p w14:paraId="0495BE6F" w14:textId="77777777" w:rsidR="00B97D96" w:rsidRPr="001D52A0" w:rsidRDefault="00B97D96" w:rsidP="00A77F46">
            <w:pPr>
              <w:autoSpaceDE w:val="0"/>
              <w:autoSpaceDN w:val="0"/>
              <w:adjustRightInd w:val="0"/>
              <w:jc w:val="both"/>
              <w:rPr>
                <w:rFonts w:asciiTheme="minorHAnsi" w:hAnsiTheme="minorHAnsi" w:cs="Arial"/>
                <w:sz w:val="22"/>
                <w:szCs w:val="22"/>
              </w:rPr>
            </w:pPr>
            <w:r w:rsidRPr="001D52A0">
              <w:rPr>
                <w:rFonts w:asciiTheme="minorHAnsi" w:hAnsiTheme="minorHAnsi" w:cs="Arial"/>
                <w:sz w:val="22"/>
                <w:szCs w:val="22"/>
              </w:rPr>
              <w:t>1,587</w:t>
            </w:r>
          </w:p>
        </w:tc>
        <w:tc>
          <w:tcPr>
            <w:tcW w:w="1720" w:type="dxa"/>
            <w:hideMark/>
          </w:tcPr>
          <w:p w14:paraId="7FB76E3B" w14:textId="77777777" w:rsidR="00B97D96" w:rsidRPr="001D52A0" w:rsidRDefault="00B97D96" w:rsidP="00A77F46">
            <w:pPr>
              <w:autoSpaceDE w:val="0"/>
              <w:autoSpaceDN w:val="0"/>
              <w:adjustRightInd w:val="0"/>
              <w:jc w:val="both"/>
              <w:rPr>
                <w:rFonts w:asciiTheme="minorHAnsi" w:hAnsiTheme="minorHAnsi" w:cs="Arial"/>
                <w:sz w:val="22"/>
                <w:szCs w:val="22"/>
              </w:rPr>
            </w:pPr>
            <w:r w:rsidRPr="001D52A0">
              <w:rPr>
                <w:rFonts w:asciiTheme="minorHAnsi" w:hAnsiTheme="minorHAnsi" w:cs="Arial"/>
                <w:sz w:val="22"/>
                <w:szCs w:val="22"/>
              </w:rPr>
              <w:t>245</w:t>
            </w:r>
          </w:p>
        </w:tc>
      </w:tr>
      <w:tr w:rsidR="00B97D96" w:rsidRPr="001D52A0" w14:paraId="4F50090B" w14:textId="77777777" w:rsidTr="00B97D96">
        <w:trPr>
          <w:jc w:val="center"/>
        </w:trPr>
        <w:tc>
          <w:tcPr>
            <w:tcW w:w="1711" w:type="dxa"/>
            <w:hideMark/>
          </w:tcPr>
          <w:p w14:paraId="722EBAEE" w14:textId="77777777" w:rsidR="00B97D96" w:rsidRPr="001D52A0" w:rsidRDefault="00B97D96" w:rsidP="00A77F46">
            <w:pPr>
              <w:autoSpaceDE w:val="0"/>
              <w:autoSpaceDN w:val="0"/>
              <w:adjustRightInd w:val="0"/>
              <w:jc w:val="both"/>
              <w:rPr>
                <w:rFonts w:asciiTheme="minorHAnsi" w:hAnsiTheme="minorHAnsi" w:cs="Arial"/>
                <w:sz w:val="22"/>
                <w:szCs w:val="22"/>
              </w:rPr>
            </w:pPr>
            <w:r w:rsidRPr="001D52A0">
              <w:rPr>
                <w:rFonts w:asciiTheme="minorHAnsi" w:hAnsiTheme="minorHAnsi" w:cs="Arial"/>
                <w:sz w:val="22"/>
                <w:szCs w:val="22"/>
              </w:rPr>
              <w:t>Hillingdon</w:t>
            </w:r>
          </w:p>
        </w:tc>
        <w:tc>
          <w:tcPr>
            <w:tcW w:w="1692" w:type="dxa"/>
            <w:hideMark/>
          </w:tcPr>
          <w:p w14:paraId="05C6407D" w14:textId="77777777" w:rsidR="00B97D96" w:rsidRPr="001D52A0" w:rsidRDefault="00B97D96" w:rsidP="00A77F46">
            <w:pPr>
              <w:autoSpaceDE w:val="0"/>
              <w:autoSpaceDN w:val="0"/>
              <w:adjustRightInd w:val="0"/>
              <w:jc w:val="both"/>
              <w:rPr>
                <w:rFonts w:asciiTheme="minorHAnsi" w:hAnsiTheme="minorHAnsi" w:cs="Arial"/>
                <w:sz w:val="22"/>
                <w:szCs w:val="22"/>
              </w:rPr>
            </w:pPr>
            <w:r w:rsidRPr="001D52A0">
              <w:rPr>
                <w:rFonts w:asciiTheme="minorHAnsi" w:hAnsiTheme="minorHAnsi" w:cs="Arial"/>
                <w:sz w:val="22"/>
                <w:szCs w:val="22"/>
              </w:rPr>
              <w:t>1,678</w:t>
            </w:r>
          </w:p>
        </w:tc>
        <w:tc>
          <w:tcPr>
            <w:tcW w:w="1692" w:type="dxa"/>
            <w:hideMark/>
          </w:tcPr>
          <w:p w14:paraId="21A4B0FC" w14:textId="77777777" w:rsidR="00B97D96" w:rsidRPr="001D52A0" w:rsidRDefault="00B97D96" w:rsidP="00A77F46">
            <w:pPr>
              <w:autoSpaceDE w:val="0"/>
              <w:autoSpaceDN w:val="0"/>
              <w:adjustRightInd w:val="0"/>
              <w:jc w:val="both"/>
              <w:rPr>
                <w:rFonts w:asciiTheme="minorHAnsi" w:hAnsiTheme="minorHAnsi" w:cs="Arial"/>
                <w:sz w:val="22"/>
                <w:szCs w:val="22"/>
              </w:rPr>
            </w:pPr>
            <w:r w:rsidRPr="001D52A0">
              <w:rPr>
                <w:rFonts w:asciiTheme="minorHAnsi" w:hAnsiTheme="minorHAnsi" w:cs="Arial"/>
                <w:sz w:val="22"/>
                <w:szCs w:val="22"/>
              </w:rPr>
              <w:t>2,052</w:t>
            </w:r>
          </w:p>
        </w:tc>
        <w:tc>
          <w:tcPr>
            <w:tcW w:w="1720" w:type="dxa"/>
            <w:hideMark/>
          </w:tcPr>
          <w:p w14:paraId="46268884" w14:textId="77777777" w:rsidR="00B97D96" w:rsidRPr="001D52A0" w:rsidRDefault="00B97D96" w:rsidP="00A77F46">
            <w:pPr>
              <w:autoSpaceDE w:val="0"/>
              <w:autoSpaceDN w:val="0"/>
              <w:adjustRightInd w:val="0"/>
              <w:jc w:val="both"/>
              <w:rPr>
                <w:rFonts w:asciiTheme="minorHAnsi" w:hAnsiTheme="minorHAnsi" w:cs="Arial"/>
                <w:sz w:val="22"/>
                <w:szCs w:val="22"/>
              </w:rPr>
            </w:pPr>
            <w:r w:rsidRPr="001D52A0">
              <w:rPr>
                <w:rFonts w:asciiTheme="minorHAnsi" w:hAnsiTheme="minorHAnsi" w:cs="Arial"/>
                <w:sz w:val="22"/>
                <w:szCs w:val="22"/>
              </w:rPr>
              <w:t>374</w:t>
            </w:r>
          </w:p>
        </w:tc>
      </w:tr>
      <w:tr w:rsidR="00B97D96" w:rsidRPr="001D52A0" w14:paraId="70A17CDF" w14:textId="77777777" w:rsidTr="00B97D96">
        <w:trPr>
          <w:jc w:val="center"/>
        </w:trPr>
        <w:tc>
          <w:tcPr>
            <w:tcW w:w="1711" w:type="dxa"/>
            <w:hideMark/>
          </w:tcPr>
          <w:p w14:paraId="4C77C3B6" w14:textId="77777777" w:rsidR="00B97D96" w:rsidRPr="001D52A0" w:rsidRDefault="00B97D96" w:rsidP="00A77F46">
            <w:pPr>
              <w:autoSpaceDE w:val="0"/>
              <w:autoSpaceDN w:val="0"/>
              <w:adjustRightInd w:val="0"/>
              <w:jc w:val="both"/>
              <w:rPr>
                <w:rFonts w:asciiTheme="minorHAnsi" w:hAnsiTheme="minorHAnsi" w:cs="Arial"/>
                <w:sz w:val="22"/>
                <w:szCs w:val="22"/>
              </w:rPr>
            </w:pPr>
            <w:r w:rsidRPr="001D52A0">
              <w:rPr>
                <w:rFonts w:asciiTheme="minorHAnsi" w:hAnsiTheme="minorHAnsi" w:cs="Arial"/>
                <w:sz w:val="22"/>
                <w:szCs w:val="22"/>
              </w:rPr>
              <w:t>Hounslow</w:t>
            </w:r>
          </w:p>
        </w:tc>
        <w:tc>
          <w:tcPr>
            <w:tcW w:w="1692" w:type="dxa"/>
            <w:hideMark/>
          </w:tcPr>
          <w:p w14:paraId="299BF95B" w14:textId="77777777" w:rsidR="00B97D96" w:rsidRPr="001D52A0" w:rsidRDefault="00B97D96" w:rsidP="00A77F46">
            <w:pPr>
              <w:autoSpaceDE w:val="0"/>
              <w:autoSpaceDN w:val="0"/>
              <w:adjustRightInd w:val="0"/>
              <w:jc w:val="both"/>
              <w:rPr>
                <w:rFonts w:asciiTheme="minorHAnsi" w:hAnsiTheme="minorHAnsi" w:cs="Arial"/>
                <w:sz w:val="22"/>
                <w:szCs w:val="22"/>
              </w:rPr>
            </w:pPr>
            <w:r w:rsidRPr="001D52A0">
              <w:rPr>
                <w:rFonts w:asciiTheme="minorHAnsi" w:hAnsiTheme="minorHAnsi" w:cs="Arial"/>
                <w:sz w:val="22"/>
                <w:szCs w:val="22"/>
              </w:rPr>
              <w:t>1,445</w:t>
            </w:r>
          </w:p>
        </w:tc>
        <w:tc>
          <w:tcPr>
            <w:tcW w:w="1692" w:type="dxa"/>
            <w:hideMark/>
          </w:tcPr>
          <w:p w14:paraId="5FB9E289" w14:textId="77777777" w:rsidR="00B97D96" w:rsidRPr="001D52A0" w:rsidRDefault="00B97D96" w:rsidP="00A77F46">
            <w:pPr>
              <w:autoSpaceDE w:val="0"/>
              <w:autoSpaceDN w:val="0"/>
              <w:adjustRightInd w:val="0"/>
              <w:jc w:val="both"/>
              <w:rPr>
                <w:rFonts w:asciiTheme="minorHAnsi" w:hAnsiTheme="minorHAnsi" w:cs="Arial"/>
                <w:sz w:val="22"/>
                <w:szCs w:val="22"/>
              </w:rPr>
            </w:pPr>
            <w:r w:rsidRPr="001D52A0">
              <w:rPr>
                <w:rFonts w:asciiTheme="minorHAnsi" w:hAnsiTheme="minorHAnsi" w:cs="Arial"/>
                <w:sz w:val="22"/>
                <w:szCs w:val="22"/>
              </w:rPr>
              <w:t>1,781</w:t>
            </w:r>
          </w:p>
        </w:tc>
        <w:tc>
          <w:tcPr>
            <w:tcW w:w="1720" w:type="dxa"/>
            <w:hideMark/>
          </w:tcPr>
          <w:p w14:paraId="793490BC" w14:textId="77777777" w:rsidR="00B97D96" w:rsidRPr="001D52A0" w:rsidRDefault="00B97D96" w:rsidP="00A77F46">
            <w:pPr>
              <w:autoSpaceDE w:val="0"/>
              <w:autoSpaceDN w:val="0"/>
              <w:adjustRightInd w:val="0"/>
              <w:jc w:val="both"/>
              <w:rPr>
                <w:rFonts w:asciiTheme="minorHAnsi" w:hAnsiTheme="minorHAnsi" w:cs="Arial"/>
                <w:sz w:val="22"/>
                <w:szCs w:val="22"/>
              </w:rPr>
            </w:pPr>
            <w:r w:rsidRPr="001D52A0">
              <w:rPr>
                <w:rFonts w:asciiTheme="minorHAnsi" w:hAnsiTheme="minorHAnsi" w:cs="Arial"/>
                <w:sz w:val="22"/>
                <w:szCs w:val="22"/>
              </w:rPr>
              <w:t>336</w:t>
            </w:r>
          </w:p>
        </w:tc>
      </w:tr>
      <w:tr w:rsidR="00B97D96" w:rsidRPr="001D52A0" w14:paraId="34DC4022" w14:textId="77777777" w:rsidTr="00B97D96">
        <w:trPr>
          <w:trHeight w:val="1"/>
          <w:jc w:val="center"/>
        </w:trPr>
        <w:tc>
          <w:tcPr>
            <w:tcW w:w="1711" w:type="dxa"/>
            <w:hideMark/>
          </w:tcPr>
          <w:p w14:paraId="7E406B86" w14:textId="77777777" w:rsidR="00B97D96" w:rsidRPr="001D52A0" w:rsidRDefault="00B97D96" w:rsidP="00A77F46">
            <w:pPr>
              <w:autoSpaceDE w:val="0"/>
              <w:autoSpaceDN w:val="0"/>
              <w:adjustRightInd w:val="0"/>
              <w:jc w:val="both"/>
              <w:rPr>
                <w:rFonts w:asciiTheme="minorHAnsi" w:hAnsiTheme="minorHAnsi" w:cs="Arial"/>
                <w:sz w:val="22"/>
                <w:szCs w:val="22"/>
              </w:rPr>
            </w:pPr>
            <w:r w:rsidRPr="001D52A0">
              <w:rPr>
                <w:rFonts w:asciiTheme="minorHAnsi" w:hAnsiTheme="minorHAnsi" w:cs="Arial"/>
                <w:sz w:val="22"/>
                <w:szCs w:val="22"/>
              </w:rPr>
              <w:t>Richmond</w:t>
            </w:r>
          </w:p>
        </w:tc>
        <w:tc>
          <w:tcPr>
            <w:tcW w:w="1692" w:type="dxa"/>
            <w:hideMark/>
          </w:tcPr>
          <w:p w14:paraId="0869DEE8" w14:textId="77777777" w:rsidR="00B97D96" w:rsidRPr="001D52A0" w:rsidRDefault="00B97D96" w:rsidP="00A77F46">
            <w:pPr>
              <w:autoSpaceDE w:val="0"/>
              <w:autoSpaceDN w:val="0"/>
              <w:adjustRightInd w:val="0"/>
              <w:jc w:val="both"/>
              <w:rPr>
                <w:rFonts w:asciiTheme="minorHAnsi" w:hAnsiTheme="minorHAnsi" w:cs="Arial"/>
                <w:sz w:val="22"/>
                <w:szCs w:val="22"/>
              </w:rPr>
            </w:pPr>
            <w:r w:rsidRPr="001D52A0">
              <w:rPr>
                <w:rFonts w:asciiTheme="minorHAnsi" w:hAnsiTheme="minorHAnsi" w:cs="Arial"/>
                <w:sz w:val="22"/>
                <w:szCs w:val="22"/>
              </w:rPr>
              <w:t>996</w:t>
            </w:r>
          </w:p>
        </w:tc>
        <w:tc>
          <w:tcPr>
            <w:tcW w:w="1692" w:type="dxa"/>
            <w:hideMark/>
          </w:tcPr>
          <w:p w14:paraId="60991B0F" w14:textId="77777777" w:rsidR="00B97D96" w:rsidRPr="001D52A0" w:rsidRDefault="00B97D96" w:rsidP="00A77F46">
            <w:pPr>
              <w:autoSpaceDE w:val="0"/>
              <w:autoSpaceDN w:val="0"/>
              <w:adjustRightInd w:val="0"/>
              <w:jc w:val="both"/>
              <w:rPr>
                <w:rFonts w:asciiTheme="minorHAnsi" w:hAnsiTheme="minorHAnsi" w:cs="Arial"/>
                <w:sz w:val="22"/>
                <w:szCs w:val="22"/>
              </w:rPr>
            </w:pPr>
            <w:r w:rsidRPr="001D52A0">
              <w:rPr>
                <w:rFonts w:asciiTheme="minorHAnsi" w:hAnsiTheme="minorHAnsi" w:cs="Arial"/>
                <w:sz w:val="22"/>
                <w:szCs w:val="22"/>
              </w:rPr>
              <w:t>1,160</w:t>
            </w:r>
          </w:p>
        </w:tc>
        <w:tc>
          <w:tcPr>
            <w:tcW w:w="1720" w:type="dxa"/>
            <w:hideMark/>
          </w:tcPr>
          <w:p w14:paraId="6CAFF1CD" w14:textId="77777777" w:rsidR="00B97D96" w:rsidRPr="001D52A0" w:rsidRDefault="00B97D96" w:rsidP="00A77F46">
            <w:pPr>
              <w:autoSpaceDE w:val="0"/>
              <w:autoSpaceDN w:val="0"/>
              <w:adjustRightInd w:val="0"/>
              <w:jc w:val="both"/>
              <w:rPr>
                <w:rFonts w:asciiTheme="minorHAnsi" w:hAnsiTheme="minorHAnsi" w:cs="Arial"/>
                <w:sz w:val="22"/>
                <w:szCs w:val="22"/>
              </w:rPr>
            </w:pPr>
            <w:r w:rsidRPr="001D52A0">
              <w:rPr>
                <w:rFonts w:asciiTheme="minorHAnsi" w:hAnsiTheme="minorHAnsi" w:cs="Arial"/>
                <w:sz w:val="22"/>
                <w:szCs w:val="22"/>
              </w:rPr>
              <w:t>164</w:t>
            </w:r>
          </w:p>
        </w:tc>
      </w:tr>
      <w:tr w:rsidR="00B97D96" w:rsidRPr="001D52A0" w14:paraId="73D88E7C" w14:textId="77777777" w:rsidTr="00B97D96">
        <w:trPr>
          <w:jc w:val="center"/>
        </w:trPr>
        <w:tc>
          <w:tcPr>
            <w:tcW w:w="1711" w:type="dxa"/>
            <w:hideMark/>
          </w:tcPr>
          <w:p w14:paraId="0095192B" w14:textId="77777777" w:rsidR="00B97D96" w:rsidRPr="001D52A0" w:rsidRDefault="00B97D96" w:rsidP="00A77F46">
            <w:pPr>
              <w:autoSpaceDE w:val="0"/>
              <w:autoSpaceDN w:val="0"/>
              <w:adjustRightInd w:val="0"/>
              <w:jc w:val="both"/>
              <w:rPr>
                <w:rFonts w:asciiTheme="minorHAnsi" w:hAnsiTheme="minorHAnsi" w:cs="Arial"/>
                <w:b/>
                <w:bCs/>
                <w:sz w:val="22"/>
                <w:szCs w:val="22"/>
              </w:rPr>
            </w:pPr>
            <w:r w:rsidRPr="001D52A0">
              <w:rPr>
                <w:rFonts w:asciiTheme="minorHAnsi" w:hAnsiTheme="minorHAnsi" w:cs="Arial"/>
                <w:b/>
                <w:bCs/>
                <w:sz w:val="22"/>
                <w:szCs w:val="22"/>
              </w:rPr>
              <w:t>Total</w:t>
            </w:r>
          </w:p>
        </w:tc>
        <w:tc>
          <w:tcPr>
            <w:tcW w:w="1692" w:type="dxa"/>
            <w:hideMark/>
          </w:tcPr>
          <w:p w14:paraId="72F33EAA" w14:textId="77777777" w:rsidR="00B97D96" w:rsidRPr="001D52A0" w:rsidRDefault="00B97D96" w:rsidP="00A77F46">
            <w:pPr>
              <w:autoSpaceDE w:val="0"/>
              <w:autoSpaceDN w:val="0"/>
              <w:adjustRightInd w:val="0"/>
              <w:jc w:val="both"/>
              <w:rPr>
                <w:rFonts w:asciiTheme="minorHAnsi" w:hAnsiTheme="minorHAnsi" w:cs="Arial"/>
                <w:b/>
                <w:bCs/>
                <w:sz w:val="22"/>
                <w:szCs w:val="22"/>
              </w:rPr>
            </w:pPr>
            <w:r w:rsidRPr="001D52A0">
              <w:rPr>
                <w:rFonts w:asciiTheme="minorHAnsi" w:hAnsiTheme="minorHAnsi" w:cs="Arial"/>
                <w:b/>
                <w:bCs/>
                <w:sz w:val="22"/>
                <w:szCs w:val="22"/>
              </w:rPr>
              <w:t>9,100</w:t>
            </w:r>
          </w:p>
        </w:tc>
        <w:tc>
          <w:tcPr>
            <w:tcW w:w="1692" w:type="dxa"/>
            <w:hideMark/>
          </w:tcPr>
          <w:p w14:paraId="78B7FADD" w14:textId="77777777" w:rsidR="00B97D96" w:rsidRPr="001D52A0" w:rsidRDefault="00B97D96" w:rsidP="00A77F46">
            <w:pPr>
              <w:autoSpaceDE w:val="0"/>
              <w:autoSpaceDN w:val="0"/>
              <w:adjustRightInd w:val="0"/>
              <w:jc w:val="both"/>
              <w:rPr>
                <w:rFonts w:asciiTheme="minorHAnsi" w:hAnsiTheme="minorHAnsi" w:cs="Arial"/>
                <w:b/>
                <w:bCs/>
                <w:sz w:val="22"/>
                <w:szCs w:val="22"/>
              </w:rPr>
            </w:pPr>
            <w:r w:rsidRPr="001D52A0">
              <w:rPr>
                <w:rFonts w:asciiTheme="minorHAnsi" w:hAnsiTheme="minorHAnsi" w:cs="Arial"/>
                <w:b/>
                <w:bCs/>
                <w:sz w:val="22"/>
                <w:szCs w:val="22"/>
              </w:rPr>
              <w:t>11,040</w:t>
            </w:r>
          </w:p>
        </w:tc>
        <w:tc>
          <w:tcPr>
            <w:tcW w:w="1720" w:type="dxa"/>
            <w:hideMark/>
          </w:tcPr>
          <w:p w14:paraId="451FE672" w14:textId="77777777" w:rsidR="00B97D96" w:rsidRPr="001D52A0" w:rsidRDefault="00B97D96" w:rsidP="00A77F46">
            <w:pPr>
              <w:autoSpaceDE w:val="0"/>
              <w:autoSpaceDN w:val="0"/>
              <w:adjustRightInd w:val="0"/>
              <w:jc w:val="both"/>
              <w:rPr>
                <w:rFonts w:asciiTheme="minorHAnsi" w:hAnsiTheme="minorHAnsi" w:cs="Arial"/>
                <w:b/>
                <w:bCs/>
                <w:sz w:val="22"/>
                <w:szCs w:val="22"/>
              </w:rPr>
            </w:pPr>
            <w:r w:rsidRPr="001D52A0">
              <w:rPr>
                <w:rFonts w:asciiTheme="minorHAnsi" w:hAnsiTheme="minorHAnsi" w:cs="Arial"/>
                <w:b/>
                <w:bCs/>
                <w:sz w:val="22"/>
                <w:szCs w:val="22"/>
              </w:rPr>
              <w:t>1,940</w:t>
            </w:r>
          </w:p>
        </w:tc>
      </w:tr>
    </w:tbl>
    <w:p w14:paraId="27B56CC1" w14:textId="77777777" w:rsidR="003E1144" w:rsidRPr="001D52A0" w:rsidRDefault="00C50BBA" w:rsidP="009B41F6">
      <w:pPr>
        <w:numPr>
          <w:ilvl w:val="1"/>
          <w:numId w:val="21"/>
        </w:numPr>
        <w:autoSpaceDE w:val="0"/>
        <w:autoSpaceDN w:val="0"/>
        <w:adjustRightInd w:val="0"/>
        <w:spacing w:before="240" w:after="120"/>
        <w:jc w:val="both"/>
        <w:rPr>
          <w:rFonts w:asciiTheme="minorHAnsi" w:hAnsiTheme="minorHAnsi" w:cs="Arial"/>
          <w:b/>
          <w:sz w:val="22"/>
          <w:szCs w:val="22"/>
        </w:rPr>
      </w:pPr>
      <w:r w:rsidRPr="001D52A0">
        <w:rPr>
          <w:rFonts w:asciiTheme="minorHAnsi" w:hAnsiTheme="minorHAnsi" w:cs="Arial"/>
          <w:sz w:val="22"/>
          <w:szCs w:val="22"/>
        </w:rPr>
        <w:t xml:space="preserve">The movement in the </w:t>
      </w:r>
      <w:r w:rsidR="003C500D" w:rsidRPr="001D52A0">
        <w:rPr>
          <w:rFonts w:asciiTheme="minorHAnsi" w:hAnsiTheme="minorHAnsi" w:cs="Arial"/>
          <w:sz w:val="22"/>
          <w:szCs w:val="22"/>
        </w:rPr>
        <w:t xml:space="preserve">proportion of </w:t>
      </w:r>
      <w:r w:rsidRPr="001D52A0">
        <w:rPr>
          <w:rFonts w:asciiTheme="minorHAnsi" w:hAnsiTheme="minorHAnsi" w:cs="Arial"/>
          <w:sz w:val="22"/>
          <w:szCs w:val="22"/>
        </w:rPr>
        <w:t>SERC cos</w:t>
      </w:r>
      <w:r w:rsidR="003C500D" w:rsidRPr="001D52A0">
        <w:rPr>
          <w:rFonts w:asciiTheme="minorHAnsi" w:hAnsiTheme="minorHAnsi" w:cs="Arial"/>
          <w:sz w:val="22"/>
          <w:szCs w:val="22"/>
        </w:rPr>
        <w:t>t (depreciation,</w:t>
      </w:r>
      <w:r w:rsidR="00CF0B65" w:rsidRPr="001D52A0">
        <w:rPr>
          <w:rFonts w:asciiTheme="minorHAnsi" w:hAnsiTheme="minorHAnsi" w:cs="Arial"/>
          <w:sz w:val="22"/>
          <w:szCs w:val="22"/>
        </w:rPr>
        <w:t xml:space="preserve"> insurance,</w:t>
      </w:r>
      <w:r w:rsidR="003C500D" w:rsidRPr="001D52A0">
        <w:rPr>
          <w:rFonts w:asciiTheme="minorHAnsi" w:hAnsiTheme="minorHAnsi" w:cs="Arial"/>
          <w:sz w:val="22"/>
          <w:szCs w:val="22"/>
        </w:rPr>
        <w:t xml:space="preserve"> financing etc</w:t>
      </w:r>
      <w:r w:rsidRPr="001D52A0">
        <w:rPr>
          <w:rFonts w:asciiTheme="minorHAnsi" w:hAnsiTheme="minorHAnsi" w:cs="Arial"/>
          <w:sz w:val="22"/>
          <w:szCs w:val="22"/>
        </w:rPr>
        <w:t xml:space="preserve">) </w:t>
      </w:r>
      <w:r w:rsidR="003C500D" w:rsidRPr="001D52A0">
        <w:rPr>
          <w:rFonts w:asciiTheme="minorHAnsi" w:hAnsiTheme="minorHAnsi" w:cs="Arial"/>
          <w:sz w:val="22"/>
          <w:szCs w:val="22"/>
        </w:rPr>
        <w:t xml:space="preserve">relating to borough collections is </w:t>
      </w:r>
      <w:r w:rsidRPr="001D52A0">
        <w:rPr>
          <w:rFonts w:asciiTheme="minorHAnsi" w:hAnsiTheme="minorHAnsi" w:cs="Arial"/>
          <w:sz w:val="22"/>
          <w:szCs w:val="22"/>
        </w:rPr>
        <w:t xml:space="preserve">reflected here. </w:t>
      </w:r>
    </w:p>
    <w:p w14:paraId="13E07090" w14:textId="411A4427" w:rsidR="00845AE0" w:rsidRPr="001D52A0" w:rsidRDefault="00CE1A4C" w:rsidP="003E1144">
      <w:pPr>
        <w:autoSpaceDE w:val="0"/>
        <w:autoSpaceDN w:val="0"/>
        <w:adjustRightInd w:val="0"/>
        <w:spacing w:before="240" w:after="120"/>
        <w:jc w:val="both"/>
        <w:rPr>
          <w:rFonts w:asciiTheme="minorHAnsi" w:hAnsiTheme="minorHAnsi" w:cs="Arial"/>
          <w:b/>
          <w:sz w:val="22"/>
          <w:szCs w:val="22"/>
        </w:rPr>
      </w:pPr>
      <w:r w:rsidRPr="001D52A0">
        <w:rPr>
          <w:rFonts w:asciiTheme="minorHAnsi" w:hAnsiTheme="minorHAnsi" w:cs="Arial"/>
          <w:b/>
          <w:sz w:val="22"/>
          <w:szCs w:val="22"/>
        </w:rPr>
        <w:t>1</w:t>
      </w:r>
      <w:r w:rsidR="00216EC9" w:rsidRPr="001D52A0">
        <w:rPr>
          <w:rFonts w:asciiTheme="minorHAnsi" w:hAnsiTheme="minorHAnsi" w:cs="Arial"/>
          <w:b/>
          <w:sz w:val="22"/>
          <w:szCs w:val="22"/>
        </w:rPr>
        <w:t>6</w:t>
      </w:r>
      <w:r w:rsidR="0040357D" w:rsidRPr="001D52A0">
        <w:rPr>
          <w:rFonts w:asciiTheme="minorHAnsi" w:hAnsiTheme="minorHAnsi" w:cs="Arial"/>
          <w:b/>
          <w:sz w:val="22"/>
          <w:szCs w:val="22"/>
        </w:rPr>
        <w:t>.</w:t>
      </w:r>
      <w:r w:rsidR="00626F89" w:rsidRPr="001D52A0">
        <w:rPr>
          <w:rFonts w:asciiTheme="minorHAnsi" w:hAnsiTheme="minorHAnsi" w:cs="Arial"/>
          <w:b/>
          <w:sz w:val="22"/>
          <w:szCs w:val="22"/>
        </w:rPr>
        <w:t xml:space="preserve"> </w:t>
      </w:r>
      <w:r w:rsidR="00845AE0" w:rsidRPr="001D52A0">
        <w:rPr>
          <w:rFonts w:asciiTheme="minorHAnsi" w:hAnsiTheme="minorHAnsi" w:cs="Arial"/>
          <w:b/>
          <w:sz w:val="22"/>
          <w:szCs w:val="22"/>
        </w:rPr>
        <w:t>FCL Income</w:t>
      </w:r>
    </w:p>
    <w:p w14:paraId="244B05E0" w14:textId="77777777" w:rsidR="004F4CC1" w:rsidRPr="001D52A0" w:rsidRDefault="00DB7C7D" w:rsidP="004E4209">
      <w:pPr>
        <w:numPr>
          <w:ilvl w:val="1"/>
          <w:numId w:val="22"/>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The FCL charge primarily relates to the cost</w:t>
      </w:r>
      <w:r w:rsidR="004F4CC1" w:rsidRPr="001D52A0">
        <w:rPr>
          <w:rFonts w:asciiTheme="minorHAnsi" w:hAnsiTheme="minorHAnsi" w:cs="Arial"/>
          <w:sz w:val="22"/>
          <w:szCs w:val="22"/>
        </w:rPr>
        <w:t xml:space="preserve">s of </w:t>
      </w:r>
      <w:r w:rsidR="00E679F3" w:rsidRPr="001D52A0">
        <w:rPr>
          <w:rFonts w:asciiTheme="minorHAnsi" w:hAnsiTheme="minorHAnsi" w:cs="Arial"/>
          <w:sz w:val="22"/>
          <w:szCs w:val="22"/>
        </w:rPr>
        <w:t xml:space="preserve">managing the treatment and disposal of </w:t>
      </w:r>
      <w:r w:rsidR="002379A0" w:rsidRPr="001D52A0">
        <w:rPr>
          <w:rFonts w:asciiTheme="minorHAnsi" w:hAnsiTheme="minorHAnsi" w:cs="Arial"/>
          <w:sz w:val="22"/>
          <w:szCs w:val="22"/>
        </w:rPr>
        <w:t>household waste delivered to</w:t>
      </w:r>
      <w:r w:rsidRPr="001D52A0">
        <w:rPr>
          <w:rFonts w:asciiTheme="minorHAnsi" w:hAnsiTheme="minorHAnsi" w:cs="Arial"/>
          <w:sz w:val="22"/>
          <w:szCs w:val="22"/>
        </w:rPr>
        <w:t xml:space="preserve"> HRRC sites</w:t>
      </w:r>
      <w:r w:rsidR="0053651E" w:rsidRPr="001D52A0">
        <w:rPr>
          <w:rFonts w:asciiTheme="minorHAnsi" w:hAnsiTheme="minorHAnsi" w:cs="Arial"/>
          <w:sz w:val="22"/>
          <w:szCs w:val="22"/>
        </w:rPr>
        <w:t xml:space="preserve">. </w:t>
      </w:r>
      <w:r w:rsidR="00D43619" w:rsidRPr="001D52A0">
        <w:rPr>
          <w:rFonts w:asciiTheme="minorHAnsi" w:hAnsiTheme="minorHAnsi" w:cs="Arial"/>
          <w:sz w:val="22"/>
          <w:szCs w:val="22"/>
        </w:rPr>
        <w:t xml:space="preserve">It </w:t>
      </w:r>
      <w:r w:rsidRPr="001D52A0">
        <w:rPr>
          <w:rFonts w:asciiTheme="minorHAnsi" w:hAnsiTheme="minorHAnsi" w:cs="Arial"/>
          <w:sz w:val="22"/>
          <w:szCs w:val="22"/>
        </w:rPr>
        <w:t xml:space="preserve">also includes </w:t>
      </w:r>
      <w:r w:rsidR="00E679F3" w:rsidRPr="001D52A0">
        <w:rPr>
          <w:rFonts w:asciiTheme="minorHAnsi" w:hAnsiTheme="minorHAnsi" w:cs="Arial"/>
          <w:sz w:val="22"/>
          <w:szCs w:val="22"/>
        </w:rPr>
        <w:t xml:space="preserve">the Authority’s </w:t>
      </w:r>
      <w:r w:rsidR="00D43619" w:rsidRPr="001D52A0">
        <w:rPr>
          <w:rFonts w:asciiTheme="minorHAnsi" w:hAnsiTheme="minorHAnsi" w:cs="Arial"/>
          <w:sz w:val="22"/>
          <w:szCs w:val="22"/>
        </w:rPr>
        <w:t>administration</w:t>
      </w:r>
      <w:r w:rsidR="004F4CC1" w:rsidRPr="001D52A0">
        <w:rPr>
          <w:rFonts w:asciiTheme="minorHAnsi" w:hAnsiTheme="minorHAnsi" w:cs="Arial"/>
          <w:sz w:val="22"/>
          <w:szCs w:val="22"/>
        </w:rPr>
        <w:t xml:space="preserve"> and </w:t>
      </w:r>
      <w:r w:rsidR="000927E7" w:rsidRPr="001D52A0">
        <w:rPr>
          <w:rFonts w:asciiTheme="minorHAnsi" w:hAnsiTheme="minorHAnsi" w:cs="Arial"/>
          <w:sz w:val="22"/>
          <w:szCs w:val="22"/>
        </w:rPr>
        <w:t>nets off other income</w:t>
      </w:r>
      <w:r w:rsidR="004F4CC1" w:rsidRPr="001D52A0">
        <w:rPr>
          <w:rFonts w:asciiTheme="minorHAnsi" w:hAnsiTheme="minorHAnsi" w:cs="Arial"/>
          <w:sz w:val="22"/>
          <w:szCs w:val="22"/>
        </w:rPr>
        <w:t>. These costs are apportioned to the boroughs.</w:t>
      </w:r>
    </w:p>
    <w:p w14:paraId="6D2D39BD" w14:textId="2111F3CB" w:rsidR="005416C2" w:rsidRDefault="00DE77BC" w:rsidP="004E4209">
      <w:pPr>
        <w:numPr>
          <w:ilvl w:val="1"/>
          <w:numId w:val="22"/>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 xml:space="preserve">The apportionment calculation </w:t>
      </w:r>
      <w:r w:rsidR="00361744" w:rsidRPr="001D52A0">
        <w:rPr>
          <w:rFonts w:asciiTheme="minorHAnsi" w:hAnsiTheme="minorHAnsi" w:cs="Arial"/>
          <w:sz w:val="22"/>
          <w:szCs w:val="22"/>
        </w:rPr>
        <w:t xml:space="preserve">initially </w:t>
      </w:r>
      <w:r w:rsidRPr="001D52A0">
        <w:rPr>
          <w:rFonts w:asciiTheme="minorHAnsi" w:hAnsiTheme="minorHAnsi" w:cs="Arial"/>
          <w:sz w:val="22"/>
          <w:szCs w:val="22"/>
        </w:rPr>
        <w:t xml:space="preserve">uses </w:t>
      </w:r>
      <w:r w:rsidR="00797BBF" w:rsidRPr="001D52A0">
        <w:rPr>
          <w:rFonts w:asciiTheme="minorHAnsi" w:hAnsiTheme="minorHAnsi" w:cs="Arial"/>
          <w:sz w:val="22"/>
          <w:szCs w:val="22"/>
        </w:rPr>
        <w:t xml:space="preserve">last year’s </w:t>
      </w:r>
      <w:r w:rsidRPr="001D52A0">
        <w:rPr>
          <w:rFonts w:asciiTheme="minorHAnsi" w:hAnsiTheme="minorHAnsi" w:cs="Arial"/>
          <w:sz w:val="22"/>
          <w:szCs w:val="22"/>
        </w:rPr>
        <w:t>provisional Council Tax base fi</w:t>
      </w:r>
      <w:r w:rsidR="00797BBF" w:rsidRPr="001D52A0">
        <w:rPr>
          <w:rFonts w:asciiTheme="minorHAnsi" w:hAnsiTheme="minorHAnsi" w:cs="Arial"/>
          <w:sz w:val="22"/>
          <w:szCs w:val="22"/>
        </w:rPr>
        <w:t xml:space="preserve">gures provided by the boroughs. </w:t>
      </w:r>
      <w:r w:rsidRPr="001D52A0">
        <w:rPr>
          <w:rFonts w:asciiTheme="minorHAnsi" w:hAnsiTheme="minorHAnsi" w:cs="Arial"/>
          <w:sz w:val="22"/>
          <w:szCs w:val="22"/>
        </w:rPr>
        <w:t xml:space="preserve">However, </w:t>
      </w:r>
      <w:r w:rsidR="00361744" w:rsidRPr="001D52A0">
        <w:rPr>
          <w:rFonts w:asciiTheme="minorHAnsi" w:hAnsiTheme="minorHAnsi" w:cs="Arial"/>
          <w:sz w:val="22"/>
          <w:szCs w:val="22"/>
        </w:rPr>
        <w:t xml:space="preserve">when charging, </w:t>
      </w:r>
      <w:r w:rsidRPr="001D52A0">
        <w:rPr>
          <w:rFonts w:asciiTheme="minorHAnsi" w:hAnsiTheme="minorHAnsi" w:cs="Arial"/>
          <w:sz w:val="22"/>
          <w:szCs w:val="22"/>
        </w:rPr>
        <w:t xml:space="preserve">the </w:t>
      </w:r>
      <w:r w:rsidR="000729D3" w:rsidRPr="001D52A0">
        <w:rPr>
          <w:rFonts w:asciiTheme="minorHAnsi" w:hAnsiTheme="minorHAnsi" w:cs="Arial"/>
          <w:sz w:val="22"/>
          <w:szCs w:val="22"/>
        </w:rPr>
        <w:t xml:space="preserve">FCL </w:t>
      </w:r>
      <w:r w:rsidRPr="001D52A0">
        <w:rPr>
          <w:rFonts w:asciiTheme="minorHAnsi" w:hAnsiTheme="minorHAnsi" w:cs="Arial"/>
          <w:sz w:val="22"/>
          <w:szCs w:val="22"/>
        </w:rPr>
        <w:t xml:space="preserve">costs will </w:t>
      </w:r>
      <w:r w:rsidR="00DB181C" w:rsidRPr="001D52A0">
        <w:rPr>
          <w:rFonts w:asciiTheme="minorHAnsi" w:hAnsiTheme="minorHAnsi" w:cs="Arial"/>
          <w:sz w:val="22"/>
          <w:szCs w:val="22"/>
        </w:rPr>
        <w:t>be</w:t>
      </w:r>
      <w:r w:rsidR="00DB7C7D" w:rsidRPr="001D52A0">
        <w:rPr>
          <w:rFonts w:asciiTheme="minorHAnsi" w:hAnsiTheme="minorHAnsi" w:cs="Arial"/>
          <w:sz w:val="22"/>
          <w:szCs w:val="22"/>
        </w:rPr>
        <w:t xml:space="preserve"> apportioned using the </w:t>
      </w:r>
      <w:r w:rsidRPr="001D52A0">
        <w:rPr>
          <w:rFonts w:asciiTheme="minorHAnsi" w:hAnsiTheme="minorHAnsi" w:cs="Arial"/>
          <w:sz w:val="22"/>
          <w:szCs w:val="22"/>
        </w:rPr>
        <w:t xml:space="preserve">final borough approved </w:t>
      </w:r>
      <w:r w:rsidR="00DB7C7D" w:rsidRPr="001D52A0">
        <w:rPr>
          <w:rFonts w:asciiTheme="minorHAnsi" w:hAnsiTheme="minorHAnsi" w:cs="Arial"/>
          <w:sz w:val="22"/>
          <w:szCs w:val="22"/>
        </w:rPr>
        <w:t>Council Tax bas</w:t>
      </w:r>
      <w:r w:rsidR="002F391B" w:rsidRPr="001D52A0">
        <w:rPr>
          <w:rFonts w:asciiTheme="minorHAnsi" w:hAnsiTheme="minorHAnsi" w:cs="Arial"/>
          <w:sz w:val="22"/>
          <w:szCs w:val="22"/>
        </w:rPr>
        <w:t>e</w:t>
      </w:r>
      <w:r w:rsidRPr="001D52A0">
        <w:rPr>
          <w:rFonts w:asciiTheme="minorHAnsi" w:hAnsiTheme="minorHAnsi" w:cs="Arial"/>
          <w:sz w:val="22"/>
          <w:szCs w:val="22"/>
        </w:rPr>
        <w:t xml:space="preserve">. Borough Council Tax base figures may not all be published in time for the January Authority meeting and therefore </w:t>
      </w:r>
      <w:r w:rsidR="00D63C74" w:rsidRPr="001D52A0">
        <w:rPr>
          <w:rFonts w:asciiTheme="minorHAnsi" w:hAnsiTheme="minorHAnsi" w:cs="Arial"/>
          <w:sz w:val="22"/>
          <w:szCs w:val="22"/>
        </w:rPr>
        <w:t xml:space="preserve">the FCL charges </w:t>
      </w:r>
      <w:r w:rsidR="00803BFE" w:rsidRPr="001D52A0">
        <w:rPr>
          <w:rFonts w:asciiTheme="minorHAnsi" w:hAnsiTheme="minorHAnsi" w:cs="Arial"/>
          <w:sz w:val="22"/>
          <w:szCs w:val="22"/>
        </w:rPr>
        <w:t xml:space="preserve">will </w:t>
      </w:r>
      <w:r w:rsidRPr="001D52A0">
        <w:rPr>
          <w:rFonts w:asciiTheme="minorHAnsi" w:hAnsiTheme="minorHAnsi" w:cs="Arial"/>
          <w:sz w:val="22"/>
          <w:szCs w:val="22"/>
        </w:rPr>
        <w:t xml:space="preserve">be finalised </w:t>
      </w:r>
      <w:r w:rsidR="00EE3271" w:rsidRPr="001D52A0">
        <w:rPr>
          <w:rFonts w:asciiTheme="minorHAnsi" w:hAnsiTheme="minorHAnsi" w:cs="Arial"/>
          <w:sz w:val="22"/>
          <w:szCs w:val="22"/>
        </w:rPr>
        <w:t>shortly afterwards</w:t>
      </w:r>
      <w:r w:rsidRPr="001D52A0">
        <w:rPr>
          <w:rFonts w:asciiTheme="minorHAnsi" w:hAnsiTheme="minorHAnsi" w:cs="Arial"/>
          <w:sz w:val="22"/>
          <w:szCs w:val="22"/>
        </w:rPr>
        <w:t xml:space="preserve">. </w:t>
      </w:r>
    </w:p>
    <w:p w14:paraId="7B0CFFEB" w14:textId="2D5194BB" w:rsidR="002F391B" w:rsidRPr="001D52A0" w:rsidRDefault="005416C2" w:rsidP="004E4209">
      <w:pPr>
        <w:numPr>
          <w:ilvl w:val="1"/>
          <w:numId w:val="22"/>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On this basis</w:t>
      </w:r>
      <w:r w:rsidR="002F391B" w:rsidRPr="001D52A0">
        <w:rPr>
          <w:rFonts w:asciiTheme="minorHAnsi" w:hAnsiTheme="minorHAnsi" w:cs="Arial"/>
          <w:sz w:val="22"/>
          <w:szCs w:val="22"/>
        </w:rPr>
        <w:t xml:space="preserve"> the </w:t>
      </w:r>
      <w:r w:rsidR="00DE77BC" w:rsidRPr="001D52A0">
        <w:rPr>
          <w:rFonts w:asciiTheme="minorHAnsi" w:hAnsiTheme="minorHAnsi" w:cs="Arial"/>
          <w:sz w:val="22"/>
          <w:szCs w:val="22"/>
        </w:rPr>
        <w:t xml:space="preserve">draft </w:t>
      </w:r>
      <w:r w:rsidR="002F391B" w:rsidRPr="001D52A0">
        <w:rPr>
          <w:rFonts w:asciiTheme="minorHAnsi" w:hAnsiTheme="minorHAnsi" w:cs="Arial"/>
          <w:sz w:val="22"/>
          <w:szCs w:val="22"/>
        </w:rPr>
        <w:t>FCL</w:t>
      </w:r>
      <w:r w:rsidR="0096035A" w:rsidRPr="001D52A0">
        <w:rPr>
          <w:rFonts w:asciiTheme="minorHAnsi" w:hAnsiTheme="minorHAnsi" w:cs="Arial"/>
          <w:sz w:val="22"/>
          <w:szCs w:val="22"/>
        </w:rPr>
        <w:t xml:space="preserve"> (fixed)</w:t>
      </w:r>
      <w:r w:rsidR="002F391B" w:rsidRPr="001D52A0">
        <w:rPr>
          <w:rFonts w:asciiTheme="minorHAnsi" w:hAnsiTheme="minorHAnsi" w:cs="Arial"/>
          <w:sz w:val="22"/>
          <w:szCs w:val="22"/>
        </w:rPr>
        <w:t xml:space="preserve"> charge </w:t>
      </w:r>
      <w:r w:rsidR="00A4752B" w:rsidRPr="001D52A0">
        <w:rPr>
          <w:rFonts w:asciiTheme="minorHAnsi" w:hAnsiTheme="minorHAnsi" w:cs="Arial"/>
          <w:sz w:val="22"/>
          <w:szCs w:val="22"/>
        </w:rPr>
        <w:t xml:space="preserve">is </w:t>
      </w:r>
      <w:r w:rsidR="002F391B" w:rsidRPr="001D52A0">
        <w:rPr>
          <w:rFonts w:asciiTheme="minorHAnsi" w:hAnsiTheme="minorHAnsi" w:cs="Arial"/>
          <w:sz w:val="22"/>
          <w:szCs w:val="22"/>
        </w:rPr>
        <w:t>as follows:</w:t>
      </w:r>
    </w:p>
    <w:tbl>
      <w:tblPr>
        <w:tblW w:w="7504" w:type="dxa"/>
        <w:jc w:val="center"/>
        <w:tblLayout w:type="fixed"/>
        <w:tblLook w:val="04A0" w:firstRow="1" w:lastRow="0" w:firstColumn="1" w:lastColumn="0" w:noHBand="0" w:noVBand="1"/>
      </w:tblPr>
      <w:tblGrid>
        <w:gridCol w:w="1489"/>
        <w:gridCol w:w="1503"/>
        <w:gridCol w:w="1504"/>
        <w:gridCol w:w="1504"/>
        <w:gridCol w:w="1504"/>
      </w:tblGrid>
      <w:tr w:rsidR="00B97D96" w:rsidRPr="001D52A0" w14:paraId="7E6174EB" w14:textId="77777777" w:rsidTr="00B97D96">
        <w:trPr>
          <w:trHeight w:val="930"/>
          <w:jc w:val="center"/>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2C8BE" w14:textId="77777777" w:rsidR="00B97D96" w:rsidRPr="001D52A0" w:rsidRDefault="00B97D96" w:rsidP="00A77F46">
            <w:pPr>
              <w:rPr>
                <w:rFonts w:asciiTheme="minorHAnsi" w:hAnsiTheme="minorHAnsi" w:cs="Arial"/>
                <w:b/>
                <w:bCs/>
                <w:color w:val="000000"/>
                <w:sz w:val="22"/>
                <w:szCs w:val="22"/>
                <w:lang w:eastAsia="en-GB"/>
              </w:rPr>
            </w:pPr>
            <w:r w:rsidRPr="001D52A0">
              <w:rPr>
                <w:rFonts w:asciiTheme="minorHAnsi" w:hAnsiTheme="minorHAnsi" w:cs="Arial"/>
                <w:b/>
                <w:bCs/>
                <w:color w:val="000000"/>
                <w:sz w:val="22"/>
                <w:szCs w:val="22"/>
                <w:lang w:eastAsia="en-GB"/>
              </w:rPr>
              <w:t>Borough</w:t>
            </w:r>
          </w:p>
        </w:tc>
        <w:tc>
          <w:tcPr>
            <w:tcW w:w="1503" w:type="dxa"/>
            <w:tcBorders>
              <w:top w:val="single" w:sz="4" w:space="0" w:color="auto"/>
              <w:left w:val="single" w:sz="4" w:space="0" w:color="auto"/>
              <w:bottom w:val="single" w:sz="4" w:space="0" w:color="auto"/>
              <w:right w:val="single" w:sz="4" w:space="0" w:color="auto"/>
            </w:tcBorders>
            <w:vAlign w:val="center"/>
          </w:tcPr>
          <w:p w14:paraId="277715B1" w14:textId="77777777" w:rsidR="00B97D96" w:rsidRPr="001D52A0" w:rsidRDefault="00B97D96" w:rsidP="00A77F46">
            <w:pPr>
              <w:jc w:val="right"/>
              <w:rPr>
                <w:rFonts w:asciiTheme="minorHAnsi" w:hAnsiTheme="minorHAnsi" w:cs="Arial"/>
                <w:b/>
                <w:bCs/>
                <w:color w:val="000000"/>
                <w:sz w:val="22"/>
                <w:szCs w:val="22"/>
                <w:lang w:eastAsia="en-GB"/>
              </w:rPr>
            </w:pPr>
            <w:r w:rsidRPr="001D52A0">
              <w:rPr>
                <w:rFonts w:asciiTheme="minorHAnsi" w:hAnsiTheme="minorHAnsi" w:cs="Arial"/>
                <w:b/>
                <w:bCs/>
                <w:color w:val="000000"/>
                <w:sz w:val="22"/>
                <w:szCs w:val="22"/>
                <w:lang w:eastAsia="en-GB"/>
              </w:rPr>
              <w:t xml:space="preserve"> 2023/24</w:t>
            </w:r>
          </w:p>
          <w:p w14:paraId="1E87E08C" w14:textId="77777777" w:rsidR="00B97D96" w:rsidRPr="001D52A0" w:rsidRDefault="00B97D96" w:rsidP="00A77F46">
            <w:pPr>
              <w:jc w:val="right"/>
              <w:rPr>
                <w:rFonts w:asciiTheme="minorHAnsi" w:hAnsiTheme="minorHAnsi" w:cs="Arial"/>
                <w:b/>
                <w:bCs/>
                <w:color w:val="000000"/>
                <w:sz w:val="22"/>
                <w:szCs w:val="22"/>
                <w:lang w:eastAsia="en-GB"/>
              </w:rPr>
            </w:pPr>
            <w:r w:rsidRPr="001D52A0">
              <w:rPr>
                <w:rFonts w:asciiTheme="minorHAnsi" w:hAnsiTheme="minorHAnsi" w:cs="Arial"/>
                <w:b/>
                <w:bCs/>
                <w:color w:val="000000"/>
                <w:sz w:val="22"/>
                <w:szCs w:val="22"/>
                <w:lang w:eastAsia="en-GB"/>
              </w:rPr>
              <w:t xml:space="preserve"> FCL </w:t>
            </w:r>
          </w:p>
          <w:p w14:paraId="34ED921F" w14:textId="5DBE2C01" w:rsidR="00B97D96" w:rsidRPr="001D52A0" w:rsidRDefault="00B97D96" w:rsidP="00A77F46">
            <w:pPr>
              <w:jc w:val="right"/>
              <w:rPr>
                <w:rFonts w:asciiTheme="minorHAnsi" w:hAnsiTheme="minorHAnsi" w:cs="Arial"/>
                <w:b/>
                <w:bCs/>
                <w:color w:val="000000"/>
                <w:sz w:val="22"/>
                <w:szCs w:val="22"/>
                <w:lang w:eastAsia="en-GB"/>
              </w:rPr>
            </w:pPr>
            <w:r w:rsidRPr="001D52A0">
              <w:rPr>
                <w:rFonts w:asciiTheme="minorHAnsi" w:hAnsiTheme="minorHAnsi" w:cs="Arial"/>
                <w:b/>
                <w:bCs/>
                <w:color w:val="000000"/>
                <w:sz w:val="22"/>
                <w:szCs w:val="22"/>
                <w:lang w:eastAsia="en-GB"/>
              </w:rPr>
              <w:t>charge £000’s</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14:paraId="536A1F2F" w14:textId="0AD5B292" w:rsidR="00B97D96" w:rsidRPr="001D52A0" w:rsidRDefault="00B97D96" w:rsidP="00A77F46">
            <w:pPr>
              <w:jc w:val="right"/>
              <w:rPr>
                <w:rFonts w:asciiTheme="minorHAnsi" w:hAnsiTheme="minorHAnsi" w:cs="Arial"/>
                <w:b/>
                <w:bCs/>
                <w:color w:val="000000"/>
                <w:sz w:val="22"/>
                <w:szCs w:val="22"/>
                <w:lang w:eastAsia="en-GB"/>
              </w:rPr>
            </w:pPr>
            <w:r w:rsidRPr="001D52A0">
              <w:rPr>
                <w:rFonts w:asciiTheme="minorHAnsi" w:hAnsiTheme="minorHAnsi" w:cs="Arial"/>
                <w:b/>
                <w:bCs/>
                <w:color w:val="000000"/>
                <w:sz w:val="22"/>
                <w:szCs w:val="22"/>
                <w:lang w:eastAsia="en-GB"/>
              </w:rPr>
              <w:t>Estimated 2024/25 Council Tax base</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14:paraId="293B321B" w14:textId="17D2942A" w:rsidR="00B97D96" w:rsidRPr="001D52A0" w:rsidRDefault="00B97D96" w:rsidP="00A77F46">
            <w:pPr>
              <w:jc w:val="right"/>
              <w:rPr>
                <w:rFonts w:asciiTheme="minorHAnsi" w:hAnsiTheme="minorHAnsi" w:cs="Arial"/>
                <w:b/>
                <w:bCs/>
                <w:color w:val="000000"/>
                <w:sz w:val="22"/>
                <w:szCs w:val="22"/>
                <w:lang w:eastAsia="en-GB"/>
              </w:rPr>
            </w:pPr>
            <w:r w:rsidRPr="001D52A0">
              <w:rPr>
                <w:rFonts w:asciiTheme="minorHAnsi" w:hAnsiTheme="minorHAnsi" w:cs="Arial"/>
                <w:b/>
                <w:bCs/>
                <w:color w:val="000000"/>
                <w:sz w:val="22"/>
                <w:szCs w:val="22"/>
                <w:lang w:eastAsia="en-GB"/>
              </w:rPr>
              <w:t xml:space="preserve"> 2024/25</w:t>
            </w:r>
          </w:p>
          <w:p w14:paraId="5EFDFC17" w14:textId="77777777" w:rsidR="00B97D96" w:rsidRPr="001D52A0" w:rsidRDefault="00B97D96" w:rsidP="00A77F46">
            <w:pPr>
              <w:jc w:val="right"/>
              <w:rPr>
                <w:rFonts w:asciiTheme="minorHAnsi" w:hAnsiTheme="minorHAnsi" w:cs="Arial"/>
                <w:b/>
                <w:bCs/>
                <w:color w:val="000000"/>
                <w:sz w:val="22"/>
                <w:szCs w:val="22"/>
                <w:lang w:eastAsia="en-GB"/>
              </w:rPr>
            </w:pPr>
            <w:r w:rsidRPr="001D52A0">
              <w:rPr>
                <w:rFonts w:asciiTheme="minorHAnsi" w:hAnsiTheme="minorHAnsi" w:cs="Arial"/>
                <w:b/>
                <w:bCs/>
                <w:color w:val="000000"/>
                <w:sz w:val="22"/>
                <w:szCs w:val="22"/>
                <w:lang w:eastAsia="en-GB"/>
              </w:rPr>
              <w:t xml:space="preserve"> FCL </w:t>
            </w:r>
          </w:p>
          <w:p w14:paraId="50BCE6BB" w14:textId="77777777" w:rsidR="00B97D96" w:rsidRPr="001D52A0" w:rsidRDefault="00B97D96" w:rsidP="00A77F46">
            <w:pPr>
              <w:jc w:val="right"/>
              <w:rPr>
                <w:rFonts w:asciiTheme="minorHAnsi" w:hAnsiTheme="minorHAnsi" w:cs="Arial"/>
                <w:b/>
                <w:bCs/>
                <w:color w:val="000000"/>
                <w:sz w:val="22"/>
                <w:szCs w:val="22"/>
                <w:lang w:eastAsia="en-GB"/>
              </w:rPr>
            </w:pPr>
            <w:r w:rsidRPr="001D52A0">
              <w:rPr>
                <w:rFonts w:asciiTheme="minorHAnsi" w:hAnsiTheme="minorHAnsi" w:cs="Arial"/>
                <w:b/>
                <w:bCs/>
                <w:color w:val="000000"/>
                <w:sz w:val="22"/>
                <w:szCs w:val="22"/>
                <w:lang w:eastAsia="en-GB"/>
              </w:rPr>
              <w:t>charge £000’s</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14:paraId="79EC6EBE" w14:textId="77777777" w:rsidR="00B97D96" w:rsidRPr="001D52A0" w:rsidRDefault="00B97D96" w:rsidP="00A77F46">
            <w:pPr>
              <w:jc w:val="right"/>
              <w:rPr>
                <w:rFonts w:asciiTheme="minorHAnsi" w:hAnsiTheme="minorHAnsi" w:cs="Arial"/>
                <w:b/>
                <w:bCs/>
                <w:color w:val="000000"/>
                <w:sz w:val="22"/>
                <w:szCs w:val="22"/>
                <w:lang w:eastAsia="en-GB"/>
              </w:rPr>
            </w:pPr>
            <w:r w:rsidRPr="001D52A0">
              <w:rPr>
                <w:rFonts w:asciiTheme="minorHAnsi" w:hAnsiTheme="minorHAnsi" w:cs="Arial"/>
                <w:b/>
                <w:bCs/>
                <w:color w:val="000000"/>
                <w:sz w:val="22"/>
                <w:szCs w:val="22"/>
                <w:lang w:eastAsia="en-GB"/>
              </w:rPr>
              <w:t>Change £000’s</w:t>
            </w:r>
          </w:p>
        </w:tc>
      </w:tr>
      <w:tr w:rsidR="00B97D96" w:rsidRPr="001D52A0" w14:paraId="0B547B21" w14:textId="77777777" w:rsidTr="00B97D96">
        <w:trPr>
          <w:trHeight w:val="384"/>
          <w:jc w:val="center"/>
        </w:trPr>
        <w:tc>
          <w:tcPr>
            <w:tcW w:w="1489" w:type="dxa"/>
            <w:tcBorders>
              <w:top w:val="nil"/>
              <w:left w:val="single" w:sz="4" w:space="0" w:color="auto"/>
              <w:bottom w:val="single" w:sz="4" w:space="0" w:color="auto"/>
              <w:right w:val="single" w:sz="4" w:space="0" w:color="auto"/>
            </w:tcBorders>
            <w:shd w:val="clear" w:color="auto" w:fill="auto"/>
            <w:vAlign w:val="center"/>
            <w:hideMark/>
          </w:tcPr>
          <w:p w14:paraId="7BCF4BFC" w14:textId="77777777" w:rsidR="00B97D96" w:rsidRPr="001D52A0" w:rsidRDefault="00B97D96" w:rsidP="00A77F46">
            <w:pP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Brent</w:t>
            </w:r>
          </w:p>
        </w:tc>
        <w:tc>
          <w:tcPr>
            <w:tcW w:w="1503" w:type="dxa"/>
            <w:tcBorders>
              <w:top w:val="nil"/>
              <w:left w:val="single" w:sz="4" w:space="0" w:color="auto"/>
              <w:bottom w:val="single" w:sz="4" w:space="0" w:color="auto"/>
              <w:right w:val="single" w:sz="4" w:space="0" w:color="auto"/>
            </w:tcBorders>
            <w:vAlign w:val="center"/>
          </w:tcPr>
          <w:p w14:paraId="673EE2A7" w14:textId="4E34ACF3" w:rsidR="00B97D96" w:rsidRPr="001D52A0" w:rsidRDefault="00B97D96" w:rsidP="00A77F46">
            <w:pPr>
              <w:jc w:val="righ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2,389</w:t>
            </w:r>
          </w:p>
        </w:tc>
        <w:tc>
          <w:tcPr>
            <w:tcW w:w="1504" w:type="dxa"/>
            <w:tcBorders>
              <w:top w:val="nil"/>
              <w:left w:val="nil"/>
              <w:bottom w:val="single" w:sz="4" w:space="0" w:color="auto"/>
              <w:right w:val="single" w:sz="4" w:space="0" w:color="auto"/>
            </w:tcBorders>
            <w:shd w:val="clear" w:color="auto" w:fill="auto"/>
            <w:vAlign w:val="center"/>
          </w:tcPr>
          <w:p w14:paraId="3AB8D0FB" w14:textId="61E3E490" w:rsidR="00B97D96" w:rsidRPr="001D52A0" w:rsidRDefault="00B97D96" w:rsidP="00A77F46">
            <w:pPr>
              <w:jc w:val="righ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101,187</w:t>
            </w:r>
          </w:p>
        </w:tc>
        <w:tc>
          <w:tcPr>
            <w:tcW w:w="1504" w:type="dxa"/>
            <w:tcBorders>
              <w:top w:val="nil"/>
              <w:left w:val="nil"/>
              <w:bottom w:val="single" w:sz="4" w:space="0" w:color="auto"/>
              <w:right w:val="single" w:sz="4" w:space="0" w:color="auto"/>
            </w:tcBorders>
            <w:shd w:val="clear" w:color="auto" w:fill="auto"/>
            <w:vAlign w:val="center"/>
          </w:tcPr>
          <w:p w14:paraId="5F35FD0E" w14:textId="10CACD64" w:rsidR="00B97D96" w:rsidRPr="001D52A0" w:rsidRDefault="00B97D96" w:rsidP="00A77F46">
            <w:pPr>
              <w:jc w:val="righ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2,58</w:t>
            </w:r>
            <w:r w:rsidR="001C77E4" w:rsidRPr="001D52A0">
              <w:rPr>
                <w:rFonts w:asciiTheme="minorHAnsi" w:hAnsiTheme="minorHAnsi" w:cs="Arial"/>
                <w:color w:val="000000"/>
                <w:sz w:val="22"/>
                <w:szCs w:val="22"/>
                <w:lang w:eastAsia="en-GB"/>
              </w:rPr>
              <w:t>4</w:t>
            </w:r>
          </w:p>
        </w:tc>
        <w:tc>
          <w:tcPr>
            <w:tcW w:w="1504" w:type="dxa"/>
            <w:tcBorders>
              <w:top w:val="nil"/>
              <w:left w:val="nil"/>
              <w:bottom w:val="single" w:sz="4" w:space="0" w:color="auto"/>
              <w:right w:val="single" w:sz="4" w:space="0" w:color="auto"/>
            </w:tcBorders>
            <w:shd w:val="clear" w:color="auto" w:fill="auto"/>
            <w:vAlign w:val="center"/>
          </w:tcPr>
          <w:p w14:paraId="3539F40E" w14:textId="22B351CE" w:rsidR="00B97D96" w:rsidRPr="001D52A0" w:rsidRDefault="00B97D96" w:rsidP="00A77F46">
            <w:pPr>
              <w:jc w:val="righ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19</w:t>
            </w:r>
            <w:r w:rsidR="001C77E4" w:rsidRPr="001D52A0">
              <w:rPr>
                <w:rFonts w:asciiTheme="minorHAnsi" w:hAnsiTheme="minorHAnsi" w:cs="Arial"/>
                <w:color w:val="000000"/>
                <w:sz w:val="22"/>
                <w:szCs w:val="22"/>
                <w:lang w:eastAsia="en-GB"/>
              </w:rPr>
              <w:t>4</w:t>
            </w:r>
          </w:p>
        </w:tc>
      </w:tr>
      <w:tr w:rsidR="00B97D96" w:rsidRPr="001D52A0" w14:paraId="67C4DC16" w14:textId="77777777" w:rsidTr="00B97D96">
        <w:trPr>
          <w:trHeight w:val="384"/>
          <w:jc w:val="center"/>
        </w:trPr>
        <w:tc>
          <w:tcPr>
            <w:tcW w:w="1489" w:type="dxa"/>
            <w:tcBorders>
              <w:top w:val="nil"/>
              <w:left w:val="single" w:sz="4" w:space="0" w:color="auto"/>
              <w:bottom w:val="single" w:sz="4" w:space="0" w:color="auto"/>
              <w:right w:val="single" w:sz="4" w:space="0" w:color="auto"/>
            </w:tcBorders>
            <w:shd w:val="clear" w:color="auto" w:fill="auto"/>
            <w:vAlign w:val="center"/>
            <w:hideMark/>
          </w:tcPr>
          <w:p w14:paraId="430463C0" w14:textId="77777777" w:rsidR="00B97D96" w:rsidRPr="001D52A0" w:rsidRDefault="00B97D96" w:rsidP="00A77F46">
            <w:pP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Ealing</w:t>
            </w:r>
          </w:p>
        </w:tc>
        <w:tc>
          <w:tcPr>
            <w:tcW w:w="1503" w:type="dxa"/>
            <w:tcBorders>
              <w:top w:val="nil"/>
              <w:left w:val="single" w:sz="4" w:space="0" w:color="auto"/>
              <w:bottom w:val="single" w:sz="4" w:space="0" w:color="auto"/>
              <w:right w:val="single" w:sz="4" w:space="0" w:color="auto"/>
            </w:tcBorders>
            <w:vAlign w:val="center"/>
          </w:tcPr>
          <w:p w14:paraId="381BDCAF" w14:textId="42EF58B2" w:rsidR="00B97D96" w:rsidRPr="001D52A0" w:rsidRDefault="00B97D96" w:rsidP="00A77F46">
            <w:pPr>
              <w:jc w:val="righ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2,872</w:t>
            </w:r>
          </w:p>
        </w:tc>
        <w:tc>
          <w:tcPr>
            <w:tcW w:w="1504" w:type="dxa"/>
            <w:tcBorders>
              <w:top w:val="nil"/>
              <w:left w:val="nil"/>
              <w:bottom w:val="single" w:sz="4" w:space="0" w:color="auto"/>
              <w:right w:val="single" w:sz="4" w:space="0" w:color="auto"/>
            </w:tcBorders>
            <w:shd w:val="clear" w:color="auto" w:fill="auto"/>
            <w:vAlign w:val="center"/>
          </w:tcPr>
          <w:p w14:paraId="5E7C1B00" w14:textId="3B95EC26" w:rsidR="00B97D96" w:rsidRPr="001D52A0" w:rsidRDefault="00B97D96" w:rsidP="00A77F46">
            <w:pPr>
              <w:jc w:val="righ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121,613</w:t>
            </w:r>
          </w:p>
        </w:tc>
        <w:tc>
          <w:tcPr>
            <w:tcW w:w="1504" w:type="dxa"/>
            <w:tcBorders>
              <w:top w:val="nil"/>
              <w:left w:val="nil"/>
              <w:bottom w:val="single" w:sz="4" w:space="0" w:color="auto"/>
              <w:right w:val="single" w:sz="4" w:space="0" w:color="auto"/>
            </w:tcBorders>
            <w:shd w:val="clear" w:color="auto" w:fill="auto"/>
            <w:vAlign w:val="center"/>
          </w:tcPr>
          <w:p w14:paraId="5A24C34A" w14:textId="1796F3F6" w:rsidR="00B97D96" w:rsidRPr="001D52A0" w:rsidRDefault="00B97D96" w:rsidP="00A77F46">
            <w:pPr>
              <w:jc w:val="righ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3,10</w:t>
            </w:r>
            <w:r w:rsidR="001C77E4" w:rsidRPr="001D52A0">
              <w:rPr>
                <w:rFonts w:asciiTheme="minorHAnsi" w:hAnsiTheme="minorHAnsi" w:cs="Arial"/>
                <w:color w:val="000000"/>
                <w:sz w:val="22"/>
                <w:szCs w:val="22"/>
                <w:lang w:eastAsia="en-GB"/>
              </w:rPr>
              <w:t>5</w:t>
            </w:r>
          </w:p>
        </w:tc>
        <w:tc>
          <w:tcPr>
            <w:tcW w:w="1504" w:type="dxa"/>
            <w:tcBorders>
              <w:top w:val="nil"/>
              <w:left w:val="nil"/>
              <w:bottom w:val="single" w:sz="4" w:space="0" w:color="auto"/>
              <w:right w:val="single" w:sz="4" w:space="0" w:color="auto"/>
            </w:tcBorders>
            <w:shd w:val="clear" w:color="auto" w:fill="auto"/>
            <w:vAlign w:val="center"/>
          </w:tcPr>
          <w:p w14:paraId="4F64C420" w14:textId="04B87E1C" w:rsidR="00B97D96" w:rsidRPr="001D52A0" w:rsidRDefault="00B97D96" w:rsidP="00A77F46">
            <w:pPr>
              <w:jc w:val="righ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23</w:t>
            </w:r>
            <w:r w:rsidR="001C77E4" w:rsidRPr="001D52A0">
              <w:rPr>
                <w:rFonts w:asciiTheme="minorHAnsi" w:hAnsiTheme="minorHAnsi" w:cs="Arial"/>
                <w:color w:val="000000"/>
                <w:sz w:val="22"/>
                <w:szCs w:val="22"/>
                <w:lang w:eastAsia="en-GB"/>
              </w:rPr>
              <w:t>3</w:t>
            </w:r>
          </w:p>
        </w:tc>
      </w:tr>
      <w:tr w:rsidR="00B97D96" w:rsidRPr="001D52A0" w14:paraId="616BFA03" w14:textId="77777777" w:rsidTr="00B97D96">
        <w:trPr>
          <w:trHeight w:val="384"/>
          <w:jc w:val="center"/>
        </w:trPr>
        <w:tc>
          <w:tcPr>
            <w:tcW w:w="1489" w:type="dxa"/>
            <w:tcBorders>
              <w:top w:val="nil"/>
              <w:left w:val="single" w:sz="4" w:space="0" w:color="auto"/>
              <w:bottom w:val="single" w:sz="4" w:space="0" w:color="auto"/>
              <w:right w:val="single" w:sz="4" w:space="0" w:color="auto"/>
            </w:tcBorders>
            <w:shd w:val="clear" w:color="auto" w:fill="auto"/>
            <w:vAlign w:val="center"/>
            <w:hideMark/>
          </w:tcPr>
          <w:p w14:paraId="063C1761" w14:textId="77777777" w:rsidR="00B97D96" w:rsidRPr="001D52A0" w:rsidRDefault="00B97D96" w:rsidP="00A77F46">
            <w:pP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Harrow</w:t>
            </w:r>
          </w:p>
        </w:tc>
        <w:tc>
          <w:tcPr>
            <w:tcW w:w="1503" w:type="dxa"/>
            <w:tcBorders>
              <w:top w:val="nil"/>
              <w:left w:val="single" w:sz="4" w:space="0" w:color="auto"/>
              <w:bottom w:val="single" w:sz="4" w:space="0" w:color="auto"/>
              <w:right w:val="single" w:sz="4" w:space="0" w:color="auto"/>
            </w:tcBorders>
            <w:vAlign w:val="center"/>
          </w:tcPr>
          <w:p w14:paraId="0860D7B3" w14:textId="2959D4AB" w:rsidR="00B97D96" w:rsidRPr="001D52A0" w:rsidRDefault="00B97D96" w:rsidP="00A77F46">
            <w:pPr>
              <w:jc w:val="righ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2,104</w:t>
            </w:r>
          </w:p>
        </w:tc>
        <w:tc>
          <w:tcPr>
            <w:tcW w:w="1504" w:type="dxa"/>
            <w:tcBorders>
              <w:top w:val="nil"/>
              <w:left w:val="nil"/>
              <w:bottom w:val="single" w:sz="4" w:space="0" w:color="auto"/>
              <w:right w:val="single" w:sz="4" w:space="0" w:color="auto"/>
            </w:tcBorders>
            <w:shd w:val="clear" w:color="auto" w:fill="auto"/>
            <w:vAlign w:val="center"/>
          </w:tcPr>
          <w:p w14:paraId="6B6E6A05" w14:textId="623980BE" w:rsidR="00B97D96" w:rsidRPr="001D52A0" w:rsidRDefault="00B97D96" w:rsidP="00A77F46">
            <w:pPr>
              <w:jc w:val="righ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89,085</w:t>
            </w:r>
          </w:p>
        </w:tc>
        <w:tc>
          <w:tcPr>
            <w:tcW w:w="1504" w:type="dxa"/>
            <w:tcBorders>
              <w:top w:val="nil"/>
              <w:left w:val="nil"/>
              <w:bottom w:val="single" w:sz="4" w:space="0" w:color="auto"/>
              <w:right w:val="single" w:sz="4" w:space="0" w:color="auto"/>
            </w:tcBorders>
            <w:shd w:val="clear" w:color="auto" w:fill="auto"/>
            <w:vAlign w:val="center"/>
          </w:tcPr>
          <w:p w14:paraId="05E62BC5" w14:textId="36CF8678" w:rsidR="00B97D96" w:rsidRPr="001D52A0" w:rsidRDefault="00B97D96" w:rsidP="00A77F46">
            <w:pPr>
              <w:jc w:val="righ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2,27</w:t>
            </w:r>
            <w:r w:rsidR="001C77E4" w:rsidRPr="001D52A0">
              <w:rPr>
                <w:rFonts w:asciiTheme="minorHAnsi" w:hAnsiTheme="minorHAnsi" w:cs="Arial"/>
                <w:color w:val="000000"/>
                <w:sz w:val="22"/>
                <w:szCs w:val="22"/>
                <w:lang w:eastAsia="en-GB"/>
              </w:rPr>
              <w:t>5</w:t>
            </w:r>
          </w:p>
        </w:tc>
        <w:tc>
          <w:tcPr>
            <w:tcW w:w="1504" w:type="dxa"/>
            <w:tcBorders>
              <w:top w:val="nil"/>
              <w:left w:val="nil"/>
              <w:bottom w:val="single" w:sz="4" w:space="0" w:color="auto"/>
              <w:right w:val="single" w:sz="4" w:space="0" w:color="auto"/>
            </w:tcBorders>
            <w:shd w:val="clear" w:color="auto" w:fill="auto"/>
            <w:vAlign w:val="center"/>
          </w:tcPr>
          <w:p w14:paraId="6A29D20C" w14:textId="1B27B782" w:rsidR="00B97D96" w:rsidRPr="001D52A0" w:rsidRDefault="00B97D96" w:rsidP="00A77F46">
            <w:pPr>
              <w:jc w:val="righ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17</w:t>
            </w:r>
            <w:r w:rsidR="001C77E4" w:rsidRPr="001D52A0">
              <w:rPr>
                <w:rFonts w:asciiTheme="minorHAnsi" w:hAnsiTheme="minorHAnsi" w:cs="Arial"/>
                <w:color w:val="000000"/>
                <w:sz w:val="22"/>
                <w:szCs w:val="22"/>
                <w:lang w:eastAsia="en-GB"/>
              </w:rPr>
              <w:t>1</w:t>
            </w:r>
          </w:p>
        </w:tc>
      </w:tr>
      <w:tr w:rsidR="00B97D96" w:rsidRPr="001D52A0" w14:paraId="4CA44176" w14:textId="77777777" w:rsidTr="00B97D96">
        <w:trPr>
          <w:trHeight w:val="384"/>
          <w:jc w:val="center"/>
        </w:trPr>
        <w:tc>
          <w:tcPr>
            <w:tcW w:w="1489" w:type="dxa"/>
            <w:tcBorders>
              <w:top w:val="nil"/>
              <w:left w:val="single" w:sz="4" w:space="0" w:color="auto"/>
              <w:bottom w:val="single" w:sz="4" w:space="0" w:color="auto"/>
              <w:right w:val="single" w:sz="4" w:space="0" w:color="auto"/>
            </w:tcBorders>
            <w:shd w:val="clear" w:color="auto" w:fill="auto"/>
            <w:vAlign w:val="center"/>
            <w:hideMark/>
          </w:tcPr>
          <w:p w14:paraId="06633543" w14:textId="77777777" w:rsidR="00B97D96" w:rsidRPr="001D52A0" w:rsidRDefault="00B97D96" w:rsidP="00A77F46">
            <w:pP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Hillingdon</w:t>
            </w:r>
          </w:p>
        </w:tc>
        <w:tc>
          <w:tcPr>
            <w:tcW w:w="1503" w:type="dxa"/>
            <w:tcBorders>
              <w:top w:val="nil"/>
              <w:left w:val="single" w:sz="4" w:space="0" w:color="auto"/>
              <w:bottom w:val="single" w:sz="4" w:space="0" w:color="auto"/>
              <w:right w:val="single" w:sz="4" w:space="0" w:color="auto"/>
            </w:tcBorders>
            <w:vAlign w:val="center"/>
          </w:tcPr>
          <w:p w14:paraId="548AC7DC" w14:textId="55AFA3EC" w:rsidR="00B97D96" w:rsidRPr="001D52A0" w:rsidRDefault="00B97D96" w:rsidP="00A77F46">
            <w:pPr>
              <w:jc w:val="righ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2,447</w:t>
            </w:r>
          </w:p>
        </w:tc>
        <w:tc>
          <w:tcPr>
            <w:tcW w:w="1504" w:type="dxa"/>
            <w:tcBorders>
              <w:top w:val="nil"/>
              <w:left w:val="nil"/>
              <w:bottom w:val="single" w:sz="4" w:space="0" w:color="auto"/>
              <w:right w:val="single" w:sz="4" w:space="0" w:color="auto"/>
            </w:tcBorders>
            <w:shd w:val="clear" w:color="auto" w:fill="auto"/>
            <w:vAlign w:val="center"/>
          </w:tcPr>
          <w:p w14:paraId="1F06CF29" w14:textId="18F76E3B" w:rsidR="00B97D96" w:rsidRPr="001D52A0" w:rsidRDefault="00B97D96" w:rsidP="00A77F46">
            <w:pPr>
              <w:jc w:val="righ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103,625</w:t>
            </w:r>
          </w:p>
        </w:tc>
        <w:tc>
          <w:tcPr>
            <w:tcW w:w="1504" w:type="dxa"/>
            <w:tcBorders>
              <w:top w:val="nil"/>
              <w:left w:val="nil"/>
              <w:bottom w:val="single" w:sz="4" w:space="0" w:color="auto"/>
              <w:right w:val="single" w:sz="4" w:space="0" w:color="auto"/>
            </w:tcBorders>
            <w:shd w:val="clear" w:color="auto" w:fill="auto"/>
            <w:vAlign w:val="center"/>
          </w:tcPr>
          <w:p w14:paraId="634622AC" w14:textId="1766A534" w:rsidR="00B97D96" w:rsidRPr="001D52A0" w:rsidRDefault="00B97D96" w:rsidP="00A77F46">
            <w:pPr>
              <w:jc w:val="righ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2,64</w:t>
            </w:r>
            <w:r w:rsidR="001C77E4" w:rsidRPr="001D52A0">
              <w:rPr>
                <w:rFonts w:asciiTheme="minorHAnsi" w:hAnsiTheme="minorHAnsi" w:cs="Arial"/>
                <w:color w:val="000000"/>
                <w:sz w:val="22"/>
                <w:szCs w:val="22"/>
                <w:lang w:eastAsia="en-GB"/>
              </w:rPr>
              <w:t>6</w:t>
            </w:r>
          </w:p>
        </w:tc>
        <w:tc>
          <w:tcPr>
            <w:tcW w:w="1504" w:type="dxa"/>
            <w:tcBorders>
              <w:top w:val="nil"/>
              <w:left w:val="nil"/>
              <w:bottom w:val="single" w:sz="4" w:space="0" w:color="auto"/>
              <w:right w:val="single" w:sz="4" w:space="0" w:color="auto"/>
            </w:tcBorders>
            <w:shd w:val="clear" w:color="auto" w:fill="auto"/>
            <w:vAlign w:val="center"/>
          </w:tcPr>
          <w:p w14:paraId="14AD04F7" w14:textId="28A35460" w:rsidR="00B97D96" w:rsidRPr="001D52A0" w:rsidRDefault="001C77E4" w:rsidP="00A77F46">
            <w:pPr>
              <w:jc w:val="righ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199</w:t>
            </w:r>
          </w:p>
        </w:tc>
      </w:tr>
      <w:tr w:rsidR="00B97D96" w:rsidRPr="001D52A0" w14:paraId="72D8A82F" w14:textId="77777777" w:rsidTr="00B97D96">
        <w:trPr>
          <w:trHeight w:val="384"/>
          <w:jc w:val="center"/>
        </w:trPr>
        <w:tc>
          <w:tcPr>
            <w:tcW w:w="1489" w:type="dxa"/>
            <w:tcBorders>
              <w:top w:val="nil"/>
              <w:left w:val="single" w:sz="4" w:space="0" w:color="auto"/>
              <w:bottom w:val="single" w:sz="4" w:space="0" w:color="auto"/>
              <w:right w:val="single" w:sz="4" w:space="0" w:color="auto"/>
            </w:tcBorders>
            <w:shd w:val="clear" w:color="auto" w:fill="auto"/>
            <w:vAlign w:val="center"/>
            <w:hideMark/>
          </w:tcPr>
          <w:p w14:paraId="54701B84" w14:textId="77777777" w:rsidR="00B97D96" w:rsidRPr="001D52A0" w:rsidRDefault="00B97D96" w:rsidP="00A77F46">
            <w:pP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Hounslow</w:t>
            </w:r>
          </w:p>
        </w:tc>
        <w:tc>
          <w:tcPr>
            <w:tcW w:w="1503" w:type="dxa"/>
            <w:tcBorders>
              <w:top w:val="nil"/>
              <w:left w:val="single" w:sz="4" w:space="0" w:color="auto"/>
              <w:bottom w:val="single" w:sz="4" w:space="0" w:color="auto"/>
              <w:right w:val="single" w:sz="4" w:space="0" w:color="auto"/>
            </w:tcBorders>
            <w:vAlign w:val="center"/>
          </w:tcPr>
          <w:p w14:paraId="16B63684" w14:textId="3684AE11" w:rsidR="00B97D96" w:rsidRPr="001D52A0" w:rsidRDefault="00B97D96" w:rsidP="00A77F46">
            <w:pPr>
              <w:jc w:val="righ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2,109</w:t>
            </w:r>
          </w:p>
        </w:tc>
        <w:tc>
          <w:tcPr>
            <w:tcW w:w="1504" w:type="dxa"/>
            <w:tcBorders>
              <w:top w:val="nil"/>
              <w:left w:val="nil"/>
              <w:bottom w:val="single" w:sz="4" w:space="0" w:color="auto"/>
              <w:right w:val="single" w:sz="4" w:space="0" w:color="auto"/>
            </w:tcBorders>
            <w:shd w:val="clear" w:color="auto" w:fill="auto"/>
            <w:vAlign w:val="center"/>
          </w:tcPr>
          <w:p w14:paraId="035B87DC" w14:textId="007B9B12" w:rsidR="00B97D96" w:rsidRPr="001D52A0" w:rsidRDefault="00B97D96" w:rsidP="00A77F46">
            <w:pPr>
              <w:jc w:val="righ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89,309</w:t>
            </w:r>
          </w:p>
        </w:tc>
        <w:tc>
          <w:tcPr>
            <w:tcW w:w="1504" w:type="dxa"/>
            <w:tcBorders>
              <w:top w:val="nil"/>
              <w:left w:val="nil"/>
              <w:bottom w:val="single" w:sz="4" w:space="0" w:color="auto"/>
              <w:right w:val="single" w:sz="4" w:space="0" w:color="auto"/>
            </w:tcBorders>
            <w:shd w:val="clear" w:color="auto" w:fill="auto"/>
            <w:vAlign w:val="center"/>
          </w:tcPr>
          <w:p w14:paraId="6977C4A2" w14:textId="72C70680" w:rsidR="00B97D96" w:rsidRPr="001D52A0" w:rsidRDefault="00B97D96" w:rsidP="00A77F46">
            <w:pPr>
              <w:jc w:val="righ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2,28</w:t>
            </w:r>
            <w:r w:rsidR="001C77E4" w:rsidRPr="001D52A0">
              <w:rPr>
                <w:rFonts w:asciiTheme="minorHAnsi" w:hAnsiTheme="minorHAnsi" w:cs="Arial"/>
                <w:color w:val="000000"/>
                <w:sz w:val="22"/>
                <w:szCs w:val="22"/>
                <w:lang w:eastAsia="en-GB"/>
              </w:rPr>
              <w:t>0</w:t>
            </w:r>
          </w:p>
        </w:tc>
        <w:tc>
          <w:tcPr>
            <w:tcW w:w="1504" w:type="dxa"/>
            <w:tcBorders>
              <w:top w:val="nil"/>
              <w:left w:val="nil"/>
              <w:bottom w:val="single" w:sz="4" w:space="0" w:color="auto"/>
              <w:right w:val="single" w:sz="4" w:space="0" w:color="auto"/>
            </w:tcBorders>
            <w:shd w:val="clear" w:color="auto" w:fill="auto"/>
            <w:vAlign w:val="center"/>
          </w:tcPr>
          <w:p w14:paraId="32BF6028" w14:textId="2C9746AF" w:rsidR="00B97D96" w:rsidRPr="001D52A0" w:rsidRDefault="00B97D96" w:rsidP="00A77F46">
            <w:pPr>
              <w:jc w:val="righ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17</w:t>
            </w:r>
            <w:r w:rsidR="001C77E4" w:rsidRPr="001D52A0">
              <w:rPr>
                <w:rFonts w:asciiTheme="minorHAnsi" w:hAnsiTheme="minorHAnsi" w:cs="Arial"/>
                <w:color w:val="000000"/>
                <w:sz w:val="22"/>
                <w:szCs w:val="22"/>
                <w:lang w:eastAsia="en-GB"/>
              </w:rPr>
              <w:t>1</w:t>
            </w:r>
          </w:p>
        </w:tc>
      </w:tr>
      <w:tr w:rsidR="00B97D96" w:rsidRPr="001D52A0" w14:paraId="2D31172D" w14:textId="77777777" w:rsidTr="00B97D96">
        <w:trPr>
          <w:trHeight w:val="384"/>
          <w:jc w:val="center"/>
        </w:trPr>
        <w:tc>
          <w:tcPr>
            <w:tcW w:w="1489" w:type="dxa"/>
            <w:tcBorders>
              <w:top w:val="nil"/>
              <w:left w:val="single" w:sz="4" w:space="0" w:color="auto"/>
              <w:bottom w:val="single" w:sz="4" w:space="0" w:color="auto"/>
              <w:right w:val="single" w:sz="4" w:space="0" w:color="auto"/>
            </w:tcBorders>
            <w:shd w:val="clear" w:color="auto" w:fill="auto"/>
            <w:vAlign w:val="center"/>
            <w:hideMark/>
          </w:tcPr>
          <w:p w14:paraId="7CB9021D" w14:textId="77777777" w:rsidR="00B97D96" w:rsidRPr="001D52A0" w:rsidRDefault="00B97D96" w:rsidP="00A77F46">
            <w:pPr>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Richmond</w:t>
            </w:r>
          </w:p>
        </w:tc>
        <w:tc>
          <w:tcPr>
            <w:tcW w:w="1503" w:type="dxa"/>
            <w:tcBorders>
              <w:top w:val="nil"/>
              <w:left w:val="single" w:sz="4" w:space="0" w:color="auto"/>
              <w:bottom w:val="single" w:sz="4" w:space="0" w:color="auto"/>
              <w:right w:val="single" w:sz="4" w:space="0" w:color="auto"/>
            </w:tcBorders>
            <w:vAlign w:val="center"/>
          </w:tcPr>
          <w:p w14:paraId="6D0EE326" w14:textId="24B5E9B2" w:rsidR="00B97D96" w:rsidRPr="001D52A0" w:rsidRDefault="00B97D96" w:rsidP="00A77F46">
            <w:pPr>
              <w:jc w:val="righ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2,109</w:t>
            </w:r>
          </w:p>
        </w:tc>
        <w:tc>
          <w:tcPr>
            <w:tcW w:w="1504" w:type="dxa"/>
            <w:tcBorders>
              <w:top w:val="nil"/>
              <w:left w:val="nil"/>
              <w:bottom w:val="single" w:sz="4" w:space="0" w:color="auto"/>
              <w:right w:val="single" w:sz="4" w:space="0" w:color="auto"/>
            </w:tcBorders>
            <w:shd w:val="clear" w:color="auto" w:fill="auto"/>
            <w:vAlign w:val="center"/>
          </w:tcPr>
          <w:p w14:paraId="0662217A" w14:textId="33487301" w:rsidR="00B97D96" w:rsidRPr="001D52A0" w:rsidRDefault="00B97D96" w:rsidP="00A77F46">
            <w:pPr>
              <w:jc w:val="righ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89,289</w:t>
            </w:r>
          </w:p>
        </w:tc>
        <w:tc>
          <w:tcPr>
            <w:tcW w:w="1504" w:type="dxa"/>
            <w:tcBorders>
              <w:top w:val="nil"/>
              <w:left w:val="nil"/>
              <w:bottom w:val="single" w:sz="4" w:space="0" w:color="auto"/>
              <w:right w:val="single" w:sz="4" w:space="0" w:color="auto"/>
            </w:tcBorders>
            <w:shd w:val="clear" w:color="auto" w:fill="auto"/>
            <w:vAlign w:val="center"/>
          </w:tcPr>
          <w:p w14:paraId="7DAB0934" w14:textId="4DECF338" w:rsidR="00B97D96" w:rsidRPr="001D52A0" w:rsidRDefault="00B97D96" w:rsidP="00A77F46">
            <w:pPr>
              <w:jc w:val="righ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2,28</w:t>
            </w:r>
            <w:r w:rsidR="001C77E4" w:rsidRPr="001D52A0">
              <w:rPr>
                <w:rFonts w:asciiTheme="minorHAnsi" w:hAnsiTheme="minorHAnsi" w:cs="Arial"/>
                <w:color w:val="000000"/>
                <w:sz w:val="22"/>
                <w:szCs w:val="22"/>
                <w:lang w:eastAsia="en-GB"/>
              </w:rPr>
              <w:t>0</w:t>
            </w:r>
          </w:p>
        </w:tc>
        <w:tc>
          <w:tcPr>
            <w:tcW w:w="1504" w:type="dxa"/>
            <w:tcBorders>
              <w:top w:val="nil"/>
              <w:left w:val="nil"/>
              <w:bottom w:val="single" w:sz="4" w:space="0" w:color="auto"/>
              <w:right w:val="single" w:sz="4" w:space="0" w:color="auto"/>
            </w:tcBorders>
            <w:shd w:val="clear" w:color="auto" w:fill="auto"/>
            <w:vAlign w:val="center"/>
          </w:tcPr>
          <w:p w14:paraId="258CFF76" w14:textId="44F0D9AD" w:rsidR="00B97D96" w:rsidRPr="001D52A0" w:rsidRDefault="00B97D96" w:rsidP="00A77F46">
            <w:pPr>
              <w:jc w:val="right"/>
              <w:rPr>
                <w:rFonts w:asciiTheme="minorHAnsi" w:hAnsiTheme="minorHAnsi" w:cs="Arial"/>
                <w:color w:val="000000"/>
                <w:sz w:val="22"/>
                <w:szCs w:val="22"/>
                <w:lang w:eastAsia="en-GB"/>
              </w:rPr>
            </w:pPr>
            <w:r w:rsidRPr="001D52A0">
              <w:rPr>
                <w:rFonts w:asciiTheme="minorHAnsi" w:hAnsiTheme="minorHAnsi" w:cs="Arial"/>
                <w:color w:val="000000"/>
                <w:sz w:val="22"/>
                <w:szCs w:val="22"/>
                <w:lang w:eastAsia="en-GB"/>
              </w:rPr>
              <w:t>17</w:t>
            </w:r>
            <w:r w:rsidR="001C77E4" w:rsidRPr="001D52A0">
              <w:rPr>
                <w:rFonts w:asciiTheme="minorHAnsi" w:hAnsiTheme="minorHAnsi" w:cs="Arial"/>
                <w:color w:val="000000"/>
                <w:sz w:val="22"/>
                <w:szCs w:val="22"/>
                <w:lang w:eastAsia="en-GB"/>
              </w:rPr>
              <w:t>1</w:t>
            </w:r>
          </w:p>
        </w:tc>
      </w:tr>
      <w:tr w:rsidR="00B97D96" w:rsidRPr="001D52A0" w14:paraId="3DF6B29A" w14:textId="77777777" w:rsidTr="00B97D96">
        <w:trPr>
          <w:trHeight w:val="384"/>
          <w:jc w:val="center"/>
        </w:trPr>
        <w:tc>
          <w:tcPr>
            <w:tcW w:w="1489" w:type="dxa"/>
            <w:tcBorders>
              <w:top w:val="nil"/>
              <w:left w:val="single" w:sz="4" w:space="0" w:color="auto"/>
              <w:bottom w:val="single" w:sz="4" w:space="0" w:color="auto"/>
              <w:right w:val="single" w:sz="4" w:space="0" w:color="auto"/>
            </w:tcBorders>
            <w:shd w:val="clear" w:color="auto" w:fill="auto"/>
            <w:vAlign w:val="center"/>
            <w:hideMark/>
          </w:tcPr>
          <w:p w14:paraId="4F52F3DC" w14:textId="77777777" w:rsidR="00B97D96" w:rsidRPr="001D52A0" w:rsidRDefault="00B97D96" w:rsidP="00A77F46">
            <w:pPr>
              <w:rPr>
                <w:rFonts w:asciiTheme="minorHAnsi" w:hAnsiTheme="minorHAnsi" w:cs="Arial"/>
                <w:b/>
                <w:bCs/>
                <w:color w:val="000000"/>
                <w:sz w:val="22"/>
                <w:szCs w:val="22"/>
                <w:lang w:eastAsia="en-GB"/>
              </w:rPr>
            </w:pPr>
            <w:r w:rsidRPr="001D52A0">
              <w:rPr>
                <w:rFonts w:asciiTheme="minorHAnsi" w:hAnsiTheme="minorHAnsi" w:cs="Arial"/>
                <w:b/>
                <w:bCs/>
                <w:color w:val="000000"/>
                <w:sz w:val="22"/>
                <w:szCs w:val="22"/>
                <w:lang w:eastAsia="en-GB"/>
              </w:rPr>
              <w:t>Total</w:t>
            </w:r>
          </w:p>
        </w:tc>
        <w:tc>
          <w:tcPr>
            <w:tcW w:w="1503" w:type="dxa"/>
            <w:tcBorders>
              <w:top w:val="nil"/>
              <w:left w:val="single" w:sz="4" w:space="0" w:color="auto"/>
              <w:bottom w:val="single" w:sz="4" w:space="0" w:color="auto"/>
              <w:right w:val="single" w:sz="4" w:space="0" w:color="auto"/>
            </w:tcBorders>
            <w:vAlign w:val="center"/>
          </w:tcPr>
          <w:p w14:paraId="2F326A04" w14:textId="760EB57C" w:rsidR="00B97D96" w:rsidRPr="001D52A0" w:rsidRDefault="00B97D96" w:rsidP="00A77F46">
            <w:pPr>
              <w:jc w:val="right"/>
              <w:rPr>
                <w:rFonts w:asciiTheme="minorHAnsi" w:hAnsiTheme="minorHAnsi" w:cs="Arial"/>
                <w:b/>
                <w:bCs/>
                <w:color w:val="000000"/>
                <w:sz w:val="22"/>
                <w:szCs w:val="22"/>
                <w:lang w:eastAsia="en-GB"/>
              </w:rPr>
            </w:pPr>
            <w:r w:rsidRPr="001D52A0">
              <w:rPr>
                <w:rFonts w:asciiTheme="minorHAnsi" w:hAnsiTheme="minorHAnsi" w:cs="Arial"/>
                <w:b/>
                <w:bCs/>
                <w:color w:val="000000"/>
                <w:sz w:val="22"/>
                <w:szCs w:val="22"/>
                <w:lang w:eastAsia="en-GB"/>
              </w:rPr>
              <w:t>14,029</w:t>
            </w:r>
          </w:p>
        </w:tc>
        <w:tc>
          <w:tcPr>
            <w:tcW w:w="1504" w:type="dxa"/>
            <w:tcBorders>
              <w:top w:val="nil"/>
              <w:left w:val="nil"/>
              <w:bottom w:val="single" w:sz="4" w:space="0" w:color="auto"/>
              <w:right w:val="single" w:sz="4" w:space="0" w:color="auto"/>
            </w:tcBorders>
            <w:shd w:val="clear" w:color="auto" w:fill="auto"/>
            <w:vAlign w:val="center"/>
          </w:tcPr>
          <w:p w14:paraId="1CC9A694" w14:textId="371B1C94" w:rsidR="00B97D96" w:rsidRPr="001D52A0" w:rsidRDefault="00B97D96" w:rsidP="00A77F46">
            <w:pPr>
              <w:jc w:val="right"/>
              <w:rPr>
                <w:rFonts w:asciiTheme="minorHAnsi" w:hAnsiTheme="minorHAnsi" w:cs="Arial"/>
                <w:b/>
                <w:bCs/>
                <w:color w:val="000000"/>
                <w:sz w:val="22"/>
                <w:szCs w:val="22"/>
                <w:lang w:eastAsia="en-GB"/>
              </w:rPr>
            </w:pPr>
            <w:r w:rsidRPr="001D52A0">
              <w:rPr>
                <w:rFonts w:asciiTheme="minorHAnsi" w:hAnsiTheme="minorHAnsi" w:cs="Arial"/>
                <w:b/>
                <w:bCs/>
                <w:color w:val="000000"/>
                <w:sz w:val="22"/>
                <w:szCs w:val="22"/>
                <w:lang w:eastAsia="en-GB"/>
              </w:rPr>
              <w:t>594,108</w:t>
            </w:r>
          </w:p>
        </w:tc>
        <w:tc>
          <w:tcPr>
            <w:tcW w:w="1504" w:type="dxa"/>
            <w:tcBorders>
              <w:top w:val="nil"/>
              <w:left w:val="nil"/>
              <w:bottom w:val="single" w:sz="4" w:space="0" w:color="auto"/>
              <w:right w:val="single" w:sz="4" w:space="0" w:color="auto"/>
            </w:tcBorders>
            <w:shd w:val="clear" w:color="auto" w:fill="auto"/>
            <w:vAlign w:val="center"/>
          </w:tcPr>
          <w:p w14:paraId="7F084D5C" w14:textId="5235060A" w:rsidR="00B97D96" w:rsidRPr="001D52A0" w:rsidRDefault="00B97D96" w:rsidP="00A77F46">
            <w:pPr>
              <w:jc w:val="right"/>
              <w:rPr>
                <w:rFonts w:asciiTheme="minorHAnsi" w:hAnsiTheme="minorHAnsi" w:cs="Arial"/>
                <w:b/>
                <w:bCs/>
                <w:color w:val="000000"/>
                <w:sz w:val="22"/>
                <w:szCs w:val="22"/>
                <w:lang w:eastAsia="en-GB"/>
              </w:rPr>
            </w:pPr>
            <w:r w:rsidRPr="001D52A0">
              <w:rPr>
                <w:rFonts w:asciiTheme="minorHAnsi" w:hAnsiTheme="minorHAnsi" w:cs="Arial"/>
                <w:b/>
                <w:bCs/>
                <w:color w:val="000000"/>
                <w:sz w:val="22"/>
                <w:szCs w:val="22"/>
                <w:lang w:eastAsia="en-GB"/>
              </w:rPr>
              <w:t>15,1</w:t>
            </w:r>
            <w:r w:rsidR="00817CFD" w:rsidRPr="001D52A0">
              <w:rPr>
                <w:rFonts w:asciiTheme="minorHAnsi" w:hAnsiTheme="minorHAnsi" w:cs="Arial"/>
                <w:b/>
                <w:bCs/>
                <w:color w:val="000000"/>
                <w:sz w:val="22"/>
                <w:szCs w:val="22"/>
                <w:lang w:eastAsia="en-GB"/>
              </w:rPr>
              <w:t>9</w:t>
            </w:r>
            <w:r w:rsidRPr="001D52A0">
              <w:rPr>
                <w:rFonts w:asciiTheme="minorHAnsi" w:hAnsiTheme="minorHAnsi" w:cs="Arial"/>
                <w:b/>
                <w:bCs/>
                <w:color w:val="000000"/>
                <w:sz w:val="22"/>
                <w:szCs w:val="22"/>
                <w:lang w:eastAsia="en-GB"/>
              </w:rPr>
              <w:t>0</w:t>
            </w:r>
          </w:p>
        </w:tc>
        <w:tc>
          <w:tcPr>
            <w:tcW w:w="1504" w:type="dxa"/>
            <w:tcBorders>
              <w:top w:val="nil"/>
              <w:left w:val="nil"/>
              <w:bottom w:val="single" w:sz="4" w:space="0" w:color="auto"/>
              <w:right w:val="single" w:sz="4" w:space="0" w:color="auto"/>
            </w:tcBorders>
            <w:shd w:val="clear" w:color="auto" w:fill="auto"/>
            <w:vAlign w:val="center"/>
          </w:tcPr>
          <w:p w14:paraId="7C8CBB34" w14:textId="3A3C4E68" w:rsidR="00B97D96" w:rsidRPr="001D52A0" w:rsidRDefault="00B97D96" w:rsidP="00A77F46">
            <w:pPr>
              <w:jc w:val="right"/>
              <w:rPr>
                <w:rFonts w:asciiTheme="minorHAnsi" w:hAnsiTheme="minorHAnsi" w:cs="Arial"/>
                <w:b/>
                <w:bCs/>
                <w:color w:val="000000"/>
                <w:sz w:val="22"/>
                <w:szCs w:val="22"/>
                <w:lang w:eastAsia="en-GB"/>
              </w:rPr>
            </w:pPr>
            <w:r w:rsidRPr="001D52A0">
              <w:rPr>
                <w:rFonts w:asciiTheme="minorHAnsi" w:hAnsiTheme="minorHAnsi" w:cs="Arial"/>
                <w:b/>
                <w:bCs/>
                <w:color w:val="000000"/>
                <w:sz w:val="22"/>
                <w:szCs w:val="22"/>
                <w:lang w:eastAsia="en-GB"/>
              </w:rPr>
              <w:t>1,1</w:t>
            </w:r>
            <w:r w:rsidR="00817CFD" w:rsidRPr="001D52A0">
              <w:rPr>
                <w:rFonts w:asciiTheme="minorHAnsi" w:hAnsiTheme="minorHAnsi" w:cs="Arial"/>
                <w:b/>
                <w:bCs/>
                <w:color w:val="000000"/>
                <w:sz w:val="22"/>
                <w:szCs w:val="22"/>
                <w:lang w:eastAsia="en-GB"/>
              </w:rPr>
              <w:t>6</w:t>
            </w:r>
            <w:r w:rsidRPr="001D52A0">
              <w:rPr>
                <w:rFonts w:asciiTheme="minorHAnsi" w:hAnsiTheme="minorHAnsi" w:cs="Arial"/>
                <w:b/>
                <w:bCs/>
                <w:color w:val="000000"/>
                <w:sz w:val="22"/>
                <w:szCs w:val="22"/>
                <w:lang w:eastAsia="en-GB"/>
              </w:rPr>
              <w:t>1</w:t>
            </w:r>
          </w:p>
        </w:tc>
      </w:tr>
    </w:tbl>
    <w:p w14:paraId="3C2E8966" w14:textId="77777777" w:rsidR="003C500D" w:rsidRPr="001D52A0" w:rsidRDefault="003C500D" w:rsidP="004E4209">
      <w:pPr>
        <w:numPr>
          <w:ilvl w:val="1"/>
          <w:numId w:val="22"/>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The movement in all other costs including disposal and haulage of HRRC waste,</w:t>
      </w:r>
    </w:p>
    <w:p w14:paraId="6059E485" w14:textId="77777777" w:rsidR="003C500D" w:rsidRPr="001D52A0" w:rsidRDefault="0096035A" w:rsidP="004E4209">
      <w:pPr>
        <w:numPr>
          <w:ilvl w:val="1"/>
          <w:numId w:val="22"/>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The FCL (fixed) sum will not change over the course of the year. The Authority bears any loss or surplus resultin</w:t>
      </w:r>
      <w:r w:rsidR="003C500D" w:rsidRPr="001D52A0">
        <w:rPr>
          <w:rFonts w:asciiTheme="minorHAnsi" w:hAnsiTheme="minorHAnsi" w:cs="Arial"/>
          <w:sz w:val="22"/>
          <w:szCs w:val="22"/>
        </w:rPr>
        <w:t>g from overspend or underspend.</w:t>
      </w:r>
    </w:p>
    <w:p w14:paraId="73A0B3AE" w14:textId="77777777" w:rsidR="00E1707B" w:rsidRPr="001D52A0" w:rsidRDefault="00E1707B" w:rsidP="00E1707B">
      <w:pPr>
        <w:autoSpaceDE w:val="0"/>
        <w:autoSpaceDN w:val="0"/>
        <w:adjustRightInd w:val="0"/>
        <w:spacing w:before="240" w:after="120"/>
        <w:jc w:val="both"/>
        <w:rPr>
          <w:rFonts w:asciiTheme="minorHAnsi" w:hAnsiTheme="minorHAnsi" w:cs="Arial"/>
          <w:b/>
          <w:sz w:val="22"/>
          <w:szCs w:val="22"/>
        </w:rPr>
      </w:pPr>
      <w:r w:rsidRPr="001D52A0">
        <w:rPr>
          <w:rFonts w:asciiTheme="minorHAnsi" w:hAnsiTheme="minorHAnsi" w:cs="Arial"/>
          <w:b/>
          <w:sz w:val="22"/>
          <w:szCs w:val="22"/>
        </w:rPr>
        <w:t>1</w:t>
      </w:r>
      <w:r w:rsidR="00361744" w:rsidRPr="001D52A0">
        <w:rPr>
          <w:rFonts w:asciiTheme="minorHAnsi" w:hAnsiTheme="minorHAnsi" w:cs="Arial"/>
          <w:b/>
          <w:sz w:val="22"/>
          <w:szCs w:val="22"/>
        </w:rPr>
        <w:t>7</w:t>
      </w:r>
      <w:r w:rsidRPr="001D52A0">
        <w:rPr>
          <w:rFonts w:asciiTheme="minorHAnsi" w:hAnsiTheme="minorHAnsi" w:cs="Arial"/>
          <w:b/>
          <w:sz w:val="22"/>
          <w:szCs w:val="22"/>
        </w:rPr>
        <w:t>. Other Income</w:t>
      </w:r>
      <w:r w:rsidR="00B4728B" w:rsidRPr="001D52A0">
        <w:rPr>
          <w:rFonts w:asciiTheme="minorHAnsi" w:hAnsiTheme="minorHAnsi" w:cs="Arial"/>
          <w:b/>
          <w:sz w:val="22"/>
          <w:szCs w:val="22"/>
        </w:rPr>
        <w:t xml:space="preserve"> </w:t>
      </w:r>
    </w:p>
    <w:p w14:paraId="771A1397" w14:textId="77777777" w:rsidR="00712998" w:rsidRPr="001D52A0" w:rsidRDefault="00712998" w:rsidP="004E4209">
      <w:pPr>
        <w:pStyle w:val="ListParagraph"/>
        <w:numPr>
          <w:ilvl w:val="0"/>
          <w:numId w:val="9"/>
        </w:numPr>
        <w:autoSpaceDE w:val="0"/>
        <w:autoSpaceDN w:val="0"/>
        <w:adjustRightInd w:val="0"/>
        <w:spacing w:before="240" w:after="120" w:line="240" w:lineRule="auto"/>
        <w:contextualSpacing w:val="0"/>
        <w:jc w:val="both"/>
        <w:rPr>
          <w:rFonts w:asciiTheme="minorHAnsi" w:eastAsia="Times New Roman" w:hAnsiTheme="minorHAnsi"/>
          <w:vanish/>
        </w:rPr>
      </w:pPr>
    </w:p>
    <w:p w14:paraId="3E6E91F3" w14:textId="36D5F669" w:rsidR="008F0885" w:rsidRPr="001D52A0" w:rsidRDefault="000C22A4" w:rsidP="004E4209">
      <w:pPr>
        <w:numPr>
          <w:ilvl w:val="1"/>
          <w:numId w:val="23"/>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 xml:space="preserve">The </w:t>
      </w:r>
      <w:r w:rsidR="00B35ECA" w:rsidRPr="001D52A0">
        <w:rPr>
          <w:rFonts w:asciiTheme="minorHAnsi" w:hAnsiTheme="minorHAnsi" w:cs="Arial"/>
          <w:sz w:val="22"/>
          <w:szCs w:val="22"/>
        </w:rPr>
        <w:t>2024/25</w:t>
      </w:r>
      <w:r w:rsidRPr="001D52A0">
        <w:rPr>
          <w:rFonts w:asciiTheme="minorHAnsi" w:hAnsiTheme="minorHAnsi" w:cs="Arial"/>
          <w:sz w:val="22"/>
          <w:szCs w:val="22"/>
        </w:rPr>
        <w:t xml:space="preserve"> budget is £</w:t>
      </w:r>
      <w:r w:rsidR="00B35ECA" w:rsidRPr="001D52A0">
        <w:rPr>
          <w:rFonts w:asciiTheme="minorHAnsi" w:hAnsiTheme="minorHAnsi" w:cs="Arial"/>
          <w:sz w:val="22"/>
          <w:szCs w:val="22"/>
        </w:rPr>
        <w:t>3.7</w:t>
      </w:r>
      <w:r w:rsidRPr="001D52A0">
        <w:rPr>
          <w:rFonts w:asciiTheme="minorHAnsi" w:hAnsiTheme="minorHAnsi" w:cs="Arial"/>
          <w:sz w:val="22"/>
          <w:szCs w:val="22"/>
        </w:rPr>
        <w:t xml:space="preserve"> million</w:t>
      </w:r>
      <w:r w:rsidR="00263769" w:rsidRPr="001D52A0">
        <w:rPr>
          <w:rFonts w:asciiTheme="minorHAnsi" w:hAnsiTheme="minorHAnsi" w:cs="Arial"/>
          <w:sz w:val="22"/>
          <w:szCs w:val="22"/>
        </w:rPr>
        <w:t>,</w:t>
      </w:r>
      <w:r w:rsidRPr="001D52A0">
        <w:rPr>
          <w:rFonts w:asciiTheme="minorHAnsi" w:hAnsiTheme="minorHAnsi" w:cs="Arial"/>
          <w:sz w:val="22"/>
          <w:szCs w:val="22"/>
        </w:rPr>
        <w:t xml:space="preserve"> </w:t>
      </w:r>
      <w:r w:rsidR="0087322D" w:rsidRPr="001D52A0">
        <w:rPr>
          <w:rFonts w:asciiTheme="minorHAnsi" w:hAnsiTheme="minorHAnsi" w:cs="Arial"/>
          <w:sz w:val="22"/>
          <w:szCs w:val="22"/>
        </w:rPr>
        <w:t xml:space="preserve">which </w:t>
      </w:r>
      <w:r w:rsidR="00361744" w:rsidRPr="001D52A0">
        <w:rPr>
          <w:rFonts w:asciiTheme="minorHAnsi" w:hAnsiTheme="minorHAnsi" w:cs="Arial"/>
          <w:sz w:val="22"/>
          <w:szCs w:val="22"/>
        </w:rPr>
        <w:t xml:space="preserve">is </w:t>
      </w:r>
      <w:r w:rsidR="003F49D6" w:rsidRPr="001D52A0">
        <w:rPr>
          <w:rFonts w:asciiTheme="minorHAnsi" w:hAnsiTheme="minorHAnsi" w:cs="Arial"/>
          <w:sz w:val="22"/>
          <w:szCs w:val="22"/>
        </w:rPr>
        <w:t>a £</w:t>
      </w:r>
      <w:r w:rsidR="00B35ECA" w:rsidRPr="001D52A0">
        <w:rPr>
          <w:rFonts w:asciiTheme="minorHAnsi" w:hAnsiTheme="minorHAnsi" w:cs="Arial"/>
          <w:sz w:val="22"/>
          <w:szCs w:val="22"/>
        </w:rPr>
        <w:t>1.1</w:t>
      </w:r>
      <w:r w:rsidR="003F49D6" w:rsidRPr="001D52A0">
        <w:rPr>
          <w:rFonts w:asciiTheme="minorHAnsi" w:hAnsiTheme="minorHAnsi" w:cs="Arial"/>
          <w:sz w:val="22"/>
          <w:szCs w:val="22"/>
        </w:rPr>
        <w:t xml:space="preserve"> million improvement on </w:t>
      </w:r>
      <w:r w:rsidR="00BE746C" w:rsidRPr="001D52A0">
        <w:rPr>
          <w:rFonts w:asciiTheme="minorHAnsi" w:hAnsiTheme="minorHAnsi" w:cs="Arial"/>
          <w:sz w:val="22"/>
          <w:szCs w:val="22"/>
        </w:rPr>
        <w:t>202</w:t>
      </w:r>
      <w:r w:rsidR="00B35ECA" w:rsidRPr="001D52A0">
        <w:rPr>
          <w:rFonts w:asciiTheme="minorHAnsi" w:hAnsiTheme="minorHAnsi" w:cs="Arial"/>
          <w:sz w:val="22"/>
          <w:szCs w:val="22"/>
        </w:rPr>
        <w:t>3/24</w:t>
      </w:r>
      <w:r w:rsidR="003F49D6" w:rsidRPr="001D52A0">
        <w:rPr>
          <w:rFonts w:asciiTheme="minorHAnsi" w:hAnsiTheme="minorHAnsi" w:cs="Arial"/>
          <w:sz w:val="22"/>
          <w:szCs w:val="22"/>
        </w:rPr>
        <w:t xml:space="preserve"> and reflect</w:t>
      </w:r>
      <w:r w:rsidR="00993A78" w:rsidRPr="001D52A0">
        <w:rPr>
          <w:rFonts w:asciiTheme="minorHAnsi" w:hAnsiTheme="minorHAnsi" w:cs="Arial"/>
          <w:sz w:val="22"/>
          <w:szCs w:val="22"/>
        </w:rPr>
        <w:t>s</w:t>
      </w:r>
      <w:r w:rsidR="003F49D6" w:rsidRPr="001D52A0">
        <w:rPr>
          <w:rFonts w:asciiTheme="minorHAnsi" w:hAnsiTheme="minorHAnsi" w:cs="Arial"/>
          <w:sz w:val="22"/>
          <w:szCs w:val="22"/>
        </w:rPr>
        <w:t xml:space="preserve"> activity at current levels </w:t>
      </w:r>
      <w:r w:rsidR="00993A78" w:rsidRPr="001D52A0">
        <w:rPr>
          <w:rFonts w:asciiTheme="minorHAnsi" w:hAnsiTheme="minorHAnsi" w:cs="Arial"/>
          <w:sz w:val="22"/>
          <w:szCs w:val="22"/>
        </w:rPr>
        <w:t xml:space="preserve">but allowing for </w:t>
      </w:r>
      <w:r w:rsidR="004B0BF0" w:rsidRPr="001D52A0">
        <w:rPr>
          <w:rFonts w:asciiTheme="minorHAnsi" w:hAnsiTheme="minorHAnsi" w:cs="Arial"/>
          <w:sz w:val="22"/>
          <w:szCs w:val="22"/>
        </w:rPr>
        <w:t>increases as detailed below.</w:t>
      </w:r>
    </w:p>
    <w:p w14:paraId="1F92ED17" w14:textId="5637826A" w:rsidR="006E35F5" w:rsidRPr="001D52A0" w:rsidRDefault="008F0885" w:rsidP="00C36B8D">
      <w:pPr>
        <w:numPr>
          <w:ilvl w:val="1"/>
          <w:numId w:val="23"/>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lastRenderedPageBreak/>
        <w:t>The majority of the income is from trade waste (£</w:t>
      </w:r>
      <w:r w:rsidR="00993A78" w:rsidRPr="001D52A0">
        <w:rPr>
          <w:rFonts w:asciiTheme="minorHAnsi" w:hAnsiTheme="minorHAnsi" w:cs="Arial"/>
          <w:sz w:val="22"/>
          <w:szCs w:val="22"/>
        </w:rPr>
        <w:t>2.8</w:t>
      </w:r>
      <w:r w:rsidRPr="001D52A0">
        <w:rPr>
          <w:rFonts w:asciiTheme="minorHAnsi" w:hAnsiTheme="minorHAnsi" w:cs="Arial"/>
          <w:sz w:val="22"/>
          <w:szCs w:val="22"/>
        </w:rPr>
        <w:t xml:space="preserve"> million)</w:t>
      </w:r>
      <w:r w:rsidR="003D0ED1" w:rsidRPr="001D52A0">
        <w:rPr>
          <w:rFonts w:asciiTheme="minorHAnsi" w:hAnsiTheme="minorHAnsi" w:cs="Arial"/>
          <w:sz w:val="22"/>
          <w:szCs w:val="22"/>
        </w:rPr>
        <w:t>. T</w:t>
      </w:r>
      <w:r w:rsidR="004E6240" w:rsidRPr="001D52A0">
        <w:rPr>
          <w:rFonts w:asciiTheme="minorHAnsi" w:hAnsiTheme="minorHAnsi" w:cs="Arial"/>
          <w:sz w:val="22"/>
          <w:szCs w:val="22"/>
        </w:rPr>
        <w:t>he proposed</w:t>
      </w:r>
      <w:r w:rsidR="00E679F3" w:rsidRPr="001D52A0">
        <w:rPr>
          <w:rFonts w:asciiTheme="minorHAnsi" w:hAnsiTheme="minorHAnsi" w:cs="Arial"/>
          <w:sz w:val="22"/>
          <w:szCs w:val="22"/>
        </w:rPr>
        <w:t xml:space="preserve"> main</w:t>
      </w:r>
      <w:r w:rsidR="004E6240" w:rsidRPr="001D52A0">
        <w:rPr>
          <w:rFonts w:asciiTheme="minorHAnsi" w:hAnsiTheme="minorHAnsi" w:cs="Arial"/>
          <w:sz w:val="22"/>
          <w:szCs w:val="22"/>
        </w:rPr>
        <w:t xml:space="preserve"> trade</w:t>
      </w:r>
      <w:r w:rsidR="00E1757A" w:rsidRPr="001D52A0">
        <w:rPr>
          <w:rFonts w:asciiTheme="minorHAnsi" w:hAnsiTheme="minorHAnsi" w:cs="Arial"/>
          <w:sz w:val="22"/>
          <w:szCs w:val="22"/>
        </w:rPr>
        <w:t xml:space="preserve"> and construction </w:t>
      </w:r>
      <w:r w:rsidR="004E6240" w:rsidRPr="001D52A0">
        <w:rPr>
          <w:rFonts w:asciiTheme="minorHAnsi" w:hAnsiTheme="minorHAnsi" w:cs="Arial"/>
          <w:sz w:val="22"/>
          <w:szCs w:val="22"/>
        </w:rPr>
        <w:t>charges</w:t>
      </w:r>
      <w:r w:rsidR="00E22FEF" w:rsidRPr="001D52A0">
        <w:rPr>
          <w:rFonts w:asciiTheme="minorHAnsi" w:hAnsiTheme="minorHAnsi" w:cs="Arial"/>
          <w:sz w:val="22"/>
          <w:szCs w:val="22"/>
        </w:rPr>
        <w:t xml:space="preserve"> per tonne</w:t>
      </w:r>
      <w:r w:rsidR="003D0ED1" w:rsidRPr="001D52A0">
        <w:rPr>
          <w:rFonts w:asciiTheme="minorHAnsi" w:hAnsiTheme="minorHAnsi" w:cs="Arial"/>
          <w:sz w:val="22"/>
          <w:szCs w:val="22"/>
        </w:rPr>
        <w:t xml:space="preserve"> </w:t>
      </w:r>
      <w:r w:rsidR="00502556" w:rsidRPr="001D52A0">
        <w:rPr>
          <w:rFonts w:asciiTheme="minorHAnsi" w:hAnsiTheme="minorHAnsi" w:cs="Arial"/>
          <w:sz w:val="22"/>
          <w:szCs w:val="22"/>
        </w:rPr>
        <w:t xml:space="preserve">at </w:t>
      </w:r>
      <w:r w:rsidR="00477989" w:rsidRPr="001D52A0">
        <w:rPr>
          <w:rFonts w:asciiTheme="minorHAnsi" w:hAnsiTheme="minorHAnsi" w:cs="Arial"/>
          <w:sz w:val="22"/>
          <w:szCs w:val="22"/>
        </w:rPr>
        <w:t xml:space="preserve">Abbey Road </w:t>
      </w:r>
      <w:r w:rsidR="00E34F0E" w:rsidRPr="001D52A0">
        <w:rPr>
          <w:rFonts w:asciiTheme="minorHAnsi" w:hAnsiTheme="minorHAnsi" w:cs="Arial"/>
          <w:sz w:val="22"/>
          <w:szCs w:val="22"/>
        </w:rPr>
        <w:t>have been budgeted to increase for the trade waste (residual and wood element).  This is</w:t>
      </w:r>
      <w:r w:rsidR="003D0ED1" w:rsidRPr="001D52A0">
        <w:rPr>
          <w:rFonts w:asciiTheme="minorHAnsi" w:hAnsiTheme="minorHAnsi" w:cs="Arial"/>
          <w:sz w:val="22"/>
          <w:szCs w:val="22"/>
        </w:rPr>
        <w:t xml:space="preserve"> </w:t>
      </w:r>
      <w:r w:rsidR="003F49D6" w:rsidRPr="001D52A0">
        <w:rPr>
          <w:rFonts w:asciiTheme="minorHAnsi" w:hAnsiTheme="minorHAnsi" w:cs="Arial"/>
          <w:sz w:val="22"/>
          <w:szCs w:val="22"/>
        </w:rPr>
        <w:t xml:space="preserve">to remain competitive </w:t>
      </w:r>
      <w:r w:rsidR="003D0ED1" w:rsidRPr="001D52A0">
        <w:rPr>
          <w:rFonts w:asciiTheme="minorHAnsi" w:hAnsiTheme="minorHAnsi" w:cs="Arial"/>
          <w:sz w:val="22"/>
          <w:szCs w:val="22"/>
        </w:rPr>
        <w:t>and</w:t>
      </w:r>
      <w:r w:rsidR="00E34F0E" w:rsidRPr="001D52A0">
        <w:rPr>
          <w:rFonts w:asciiTheme="minorHAnsi" w:hAnsiTheme="minorHAnsi" w:cs="Arial"/>
          <w:sz w:val="22"/>
          <w:szCs w:val="22"/>
        </w:rPr>
        <w:t xml:space="preserve"> details</w:t>
      </w:r>
      <w:r w:rsidR="003D0ED1" w:rsidRPr="001D52A0">
        <w:rPr>
          <w:rFonts w:asciiTheme="minorHAnsi" w:hAnsiTheme="minorHAnsi" w:cs="Arial"/>
          <w:sz w:val="22"/>
          <w:szCs w:val="22"/>
        </w:rPr>
        <w:t xml:space="preserve"> </w:t>
      </w:r>
      <w:r w:rsidR="004E6240" w:rsidRPr="001D52A0">
        <w:rPr>
          <w:rFonts w:asciiTheme="minorHAnsi" w:hAnsiTheme="minorHAnsi" w:cs="Arial"/>
          <w:sz w:val="22"/>
          <w:szCs w:val="22"/>
        </w:rPr>
        <w:t>are provided below</w:t>
      </w:r>
      <w:r w:rsidR="00595650" w:rsidRPr="001D52A0">
        <w:rPr>
          <w:rFonts w:asciiTheme="minorHAnsi" w:hAnsiTheme="minorHAnsi" w:cs="Arial"/>
          <w:sz w:val="22"/>
          <w:szCs w:val="22"/>
        </w:rPr>
        <w:t xml:space="preserve">. </w:t>
      </w:r>
    </w:p>
    <w:tbl>
      <w:tblPr>
        <w:tblW w:w="931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958"/>
        <w:gridCol w:w="2959"/>
      </w:tblGrid>
      <w:tr w:rsidR="003F49D6" w:rsidRPr="001D52A0" w14:paraId="760ED914" w14:textId="77777777" w:rsidTr="003F49D6">
        <w:tc>
          <w:tcPr>
            <w:tcW w:w="3402" w:type="dxa"/>
            <w:shd w:val="clear" w:color="auto" w:fill="auto"/>
          </w:tcPr>
          <w:p w14:paraId="629E608C" w14:textId="77777777" w:rsidR="003F49D6" w:rsidRPr="001D52A0" w:rsidRDefault="003F49D6" w:rsidP="003F49D6">
            <w:pPr>
              <w:rPr>
                <w:rFonts w:asciiTheme="minorHAnsi" w:hAnsiTheme="minorHAnsi" w:cs="Arial"/>
                <w:b/>
                <w:sz w:val="22"/>
                <w:szCs w:val="22"/>
              </w:rPr>
            </w:pPr>
            <w:r w:rsidRPr="001D52A0">
              <w:rPr>
                <w:rFonts w:asciiTheme="minorHAnsi" w:hAnsiTheme="minorHAnsi" w:cs="Arial"/>
                <w:b/>
                <w:sz w:val="22"/>
                <w:szCs w:val="22"/>
              </w:rPr>
              <w:t>Type of waste</w:t>
            </w:r>
          </w:p>
        </w:tc>
        <w:tc>
          <w:tcPr>
            <w:tcW w:w="2958" w:type="dxa"/>
          </w:tcPr>
          <w:p w14:paraId="70EAC8DA" w14:textId="7AF585FC" w:rsidR="003F49D6" w:rsidRPr="001D52A0" w:rsidRDefault="00993A78" w:rsidP="003F49D6">
            <w:pPr>
              <w:jc w:val="right"/>
              <w:rPr>
                <w:rFonts w:asciiTheme="minorHAnsi" w:hAnsiTheme="minorHAnsi" w:cs="Arial"/>
                <w:b/>
                <w:sz w:val="22"/>
                <w:szCs w:val="22"/>
              </w:rPr>
            </w:pPr>
            <w:r w:rsidRPr="001D52A0">
              <w:rPr>
                <w:rFonts w:asciiTheme="minorHAnsi" w:hAnsiTheme="minorHAnsi" w:cs="Arial"/>
                <w:b/>
                <w:sz w:val="22"/>
                <w:szCs w:val="22"/>
              </w:rPr>
              <w:t>2024/25</w:t>
            </w:r>
            <w:r w:rsidR="003F49D6" w:rsidRPr="001D52A0">
              <w:rPr>
                <w:rFonts w:asciiTheme="minorHAnsi" w:hAnsiTheme="minorHAnsi" w:cs="Arial"/>
                <w:b/>
                <w:sz w:val="22"/>
                <w:szCs w:val="22"/>
              </w:rPr>
              <w:t xml:space="preserve"> £</w:t>
            </w:r>
          </w:p>
        </w:tc>
        <w:tc>
          <w:tcPr>
            <w:tcW w:w="2959" w:type="dxa"/>
          </w:tcPr>
          <w:p w14:paraId="7A2845E8" w14:textId="77777777" w:rsidR="003F49D6" w:rsidRPr="001D52A0" w:rsidRDefault="003F49D6" w:rsidP="003F49D6">
            <w:pPr>
              <w:jc w:val="right"/>
              <w:rPr>
                <w:rFonts w:asciiTheme="minorHAnsi" w:hAnsiTheme="minorHAnsi" w:cs="Arial"/>
                <w:b/>
                <w:sz w:val="22"/>
                <w:szCs w:val="22"/>
              </w:rPr>
            </w:pPr>
            <w:r w:rsidRPr="001D52A0">
              <w:rPr>
                <w:rFonts w:asciiTheme="minorHAnsi" w:hAnsiTheme="minorHAnsi" w:cs="Arial"/>
                <w:b/>
                <w:sz w:val="22"/>
                <w:szCs w:val="22"/>
              </w:rPr>
              <w:t>2023/24 £</w:t>
            </w:r>
          </w:p>
        </w:tc>
      </w:tr>
      <w:tr w:rsidR="003F49D6" w:rsidRPr="001D52A0" w14:paraId="379098BD" w14:textId="77777777" w:rsidTr="003F49D6">
        <w:tc>
          <w:tcPr>
            <w:tcW w:w="3402" w:type="dxa"/>
            <w:shd w:val="clear" w:color="auto" w:fill="auto"/>
          </w:tcPr>
          <w:p w14:paraId="32AAC196" w14:textId="77777777" w:rsidR="003F49D6" w:rsidRPr="001D52A0" w:rsidRDefault="003F49D6" w:rsidP="003F49D6">
            <w:pPr>
              <w:rPr>
                <w:rFonts w:asciiTheme="minorHAnsi" w:hAnsiTheme="minorHAnsi" w:cs="Arial"/>
                <w:sz w:val="22"/>
                <w:szCs w:val="22"/>
              </w:rPr>
            </w:pPr>
            <w:r w:rsidRPr="001D52A0">
              <w:rPr>
                <w:rFonts w:asciiTheme="minorHAnsi" w:hAnsiTheme="minorHAnsi" w:cs="Arial"/>
                <w:sz w:val="22"/>
                <w:szCs w:val="22"/>
              </w:rPr>
              <w:t>Trade waste residual and wood</w:t>
            </w:r>
          </w:p>
        </w:tc>
        <w:tc>
          <w:tcPr>
            <w:tcW w:w="2958" w:type="dxa"/>
          </w:tcPr>
          <w:p w14:paraId="5BD171EE" w14:textId="777A0E02" w:rsidR="003F49D6" w:rsidRPr="001D52A0" w:rsidRDefault="00E34F0E" w:rsidP="00E34F0E">
            <w:pPr>
              <w:rPr>
                <w:rFonts w:asciiTheme="minorHAnsi" w:hAnsiTheme="minorHAnsi" w:cs="Arial"/>
                <w:sz w:val="22"/>
                <w:szCs w:val="22"/>
              </w:rPr>
            </w:pPr>
            <w:r w:rsidRPr="001D52A0">
              <w:rPr>
                <w:rFonts w:asciiTheme="minorHAnsi" w:hAnsiTheme="minorHAnsi" w:cs="Arial"/>
                <w:sz w:val="22"/>
                <w:szCs w:val="22"/>
              </w:rPr>
              <w:t>£185</w:t>
            </w:r>
            <w:r w:rsidR="003F49D6" w:rsidRPr="001D52A0">
              <w:rPr>
                <w:rFonts w:asciiTheme="minorHAnsi" w:hAnsiTheme="minorHAnsi" w:cs="Arial"/>
                <w:sz w:val="22"/>
                <w:szCs w:val="22"/>
              </w:rPr>
              <w:t xml:space="preserve">.00 for account customers and </w:t>
            </w:r>
            <w:r w:rsidRPr="001D52A0">
              <w:rPr>
                <w:rFonts w:asciiTheme="minorHAnsi" w:hAnsiTheme="minorHAnsi" w:cs="Arial"/>
                <w:sz w:val="22"/>
                <w:szCs w:val="22"/>
              </w:rPr>
              <w:t>£200</w:t>
            </w:r>
            <w:r w:rsidR="003F49D6" w:rsidRPr="001D52A0">
              <w:rPr>
                <w:rFonts w:asciiTheme="minorHAnsi" w:hAnsiTheme="minorHAnsi" w:cs="Arial"/>
                <w:sz w:val="22"/>
                <w:szCs w:val="22"/>
              </w:rPr>
              <w:t>.00 for others</w:t>
            </w:r>
          </w:p>
        </w:tc>
        <w:tc>
          <w:tcPr>
            <w:tcW w:w="2959" w:type="dxa"/>
          </w:tcPr>
          <w:p w14:paraId="0D0C9A85" w14:textId="207852F9" w:rsidR="003F49D6" w:rsidRPr="001D52A0" w:rsidRDefault="00E34F0E" w:rsidP="00E34F0E">
            <w:pPr>
              <w:rPr>
                <w:rFonts w:asciiTheme="minorHAnsi" w:hAnsiTheme="minorHAnsi" w:cs="Arial"/>
                <w:sz w:val="22"/>
                <w:szCs w:val="22"/>
              </w:rPr>
            </w:pPr>
            <w:r w:rsidRPr="001D52A0">
              <w:rPr>
                <w:rFonts w:asciiTheme="minorHAnsi" w:hAnsiTheme="minorHAnsi" w:cs="Arial"/>
                <w:sz w:val="22"/>
                <w:szCs w:val="22"/>
              </w:rPr>
              <w:t>£</w:t>
            </w:r>
            <w:r w:rsidR="003F49D6" w:rsidRPr="001D52A0">
              <w:rPr>
                <w:rFonts w:asciiTheme="minorHAnsi" w:hAnsiTheme="minorHAnsi" w:cs="Arial"/>
                <w:sz w:val="22"/>
                <w:szCs w:val="22"/>
              </w:rPr>
              <w:t>160.00 for account customers and £165.00 for others</w:t>
            </w:r>
          </w:p>
        </w:tc>
      </w:tr>
      <w:tr w:rsidR="003F49D6" w:rsidRPr="001D52A0" w14:paraId="452B2AC8" w14:textId="77777777" w:rsidTr="003F49D6">
        <w:tc>
          <w:tcPr>
            <w:tcW w:w="3402" w:type="dxa"/>
            <w:shd w:val="clear" w:color="auto" w:fill="auto"/>
          </w:tcPr>
          <w:p w14:paraId="41405BE2" w14:textId="77777777" w:rsidR="003F49D6" w:rsidRPr="001D52A0" w:rsidRDefault="003F49D6" w:rsidP="003F49D6">
            <w:pPr>
              <w:rPr>
                <w:rFonts w:asciiTheme="minorHAnsi" w:hAnsiTheme="minorHAnsi" w:cs="Arial"/>
                <w:sz w:val="22"/>
                <w:szCs w:val="22"/>
              </w:rPr>
            </w:pPr>
            <w:r w:rsidRPr="001D52A0">
              <w:rPr>
                <w:rFonts w:asciiTheme="minorHAnsi" w:hAnsiTheme="minorHAnsi" w:cs="Arial"/>
                <w:sz w:val="22"/>
                <w:szCs w:val="22"/>
              </w:rPr>
              <w:t xml:space="preserve">Trade waste recycling </w:t>
            </w:r>
          </w:p>
        </w:tc>
        <w:tc>
          <w:tcPr>
            <w:tcW w:w="2958" w:type="dxa"/>
          </w:tcPr>
          <w:p w14:paraId="5D11C30B" w14:textId="77777777" w:rsidR="003F49D6" w:rsidRPr="001D52A0" w:rsidRDefault="003F49D6" w:rsidP="00E34F0E">
            <w:pPr>
              <w:rPr>
                <w:rFonts w:asciiTheme="minorHAnsi" w:hAnsiTheme="minorHAnsi" w:cs="Arial"/>
                <w:sz w:val="22"/>
                <w:szCs w:val="22"/>
              </w:rPr>
            </w:pPr>
            <w:r w:rsidRPr="001D52A0">
              <w:rPr>
                <w:rFonts w:asciiTheme="minorHAnsi" w:hAnsiTheme="minorHAnsi" w:cs="Arial"/>
                <w:sz w:val="22"/>
                <w:szCs w:val="22"/>
              </w:rPr>
              <w:t>80.00</w:t>
            </w:r>
          </w:p>
        </w:tc>
        <w:tc>
          <w:tcPr>
            <w:tcW w:w="2959" w:type="dxa"/>
          </w:tcPr>
          <w:p w14:paraId="0D7463F3" w14:textId="77777777" w:rsidR="003F49D6" w:rsidRPr="001D52A0" w:rsidRDefault="003F49D6" w:rsidP="00E34F0E">
            <w:pPr>
              <w:rPr>
                <w:rFonts w:asciiTheme="minorHAnsi" w:hAnsiTheme="minorHAnsi" w:cs="Arial"/>
                <w:sz w:val="22"/>
                <w:szCs w:val="22"/>
              </w:rPr>
            </w:pPr>
            <w:r w:rsidRPr="001D52A0">
              <w:rPr>
                <w:rFonts w:asciiTheme="minorHAnsi" w:hAnsiTheme="minorHAnsi" w:cs="Arial"/>
                <w:sz w:val="22"/>
                <w:szCs w:val="22"/>
              </w:rPr>
              <w:t>80.00</w:t>
            </w:r>
          </w:p>
        </w:tc>
      </w:tr>
      <w:tr w:rsidR="003F49D6" w:rsidRPr="001D52A0" w14:paraId="1B313DC0" w14:textId="77777777" w:rsidTr="003F49D6">
        <w:tc>
          <w:tcPr>
            <w:tcW w:w="3402" w:type="dxa"/>
            <w:shd w:val="clear" w:color="auto" w:fill="auto"/>
          </w:tcPr>
          <w:p w14:paraId="24151BC4" w14:textId="77777777" w:rsidR="003F49D6" w:rsidRPr="001D52A0" w:rsidRDefault="003F49D6" w:rsidP="003F49D6">
            <w:pPr>
              <w:rPr>
                <w:rFonts w:asciiTheme="minorHAnsi" w:hAnsiTheme="minorHAnsi" w:cs="Arial"/>
                <w:sz w:val="22"/>
                <w:szCs w:val="22"/>
              </w:rPr>
            </w:pPr>
            <w:r w:rsidRPr="001D52A0">
              <w:rPr>
                <w:rFonts w:asciiTheme="minorHAnsi" w:hAnsiTheme="minorHAnsi" w:cs="Arial"/>
                <w:sz w:val="22"/>
                <w:szCs w:val="22"/>
              </w:rPr>
              <w:t>Asbestos (Households only)</w:t>
            </w:r>
          </w:p>
        </w:tc>
        <w:tc>
          <w:tcPr>
            <w:tcW w:w="2958" w:type="dxa"/>
          </w:tcPr>
          <w:p w14:paraId="58D6F143" w14:textId="77777777" w:rsidR="003F49D6" w:rsidRPr="001D52A0" w:rsidRDefault="003F49D6" w:rsidP="00E34F0E">
            <w:pPr>
              <w:rPr>
                <w:rFonts w:asciiTheme="minorHAnsi" w:hAnsiTheme="minorHAnsi" w:cs="Arial"/>
                <w:sz w:val="22"/>
                <w:szCs w:val="22"/>
              </w:rPr>
            </w:pPr>
            <w:r w:rsidRPr="001D52A0">
              <w:rPr>
                <w:rFonts w:asciiTheme="minorHAnsi" w:hAnsiTheme="minorHAnsi" w:cs="Arial"/>
                <w:sz w:val="22"/>
                <w:szCs w:val="22"/>
              </w:rPr>
              <w:t>272.00</w:t>
            </w:r>
          </w:p>
        </w:tc>
        <w:tc>
          <w:tcPr>
            <w:tcW w:w="2959" w:type="dxa"/>
          </w:tcPr>
          <w:p w14:paraId="48F286FC" w14:textId="77777777" w:rsidR="003F49D6" w:rsidRPr="001D52A0" w:rsidRDefault="003F49D6" w:rsidP="00E34F0E">
            <w:pPr>
              <w:rPr>
                <w:rFonts w:asciiTheme="minorHAnsi" w:hAnsiTheme="minorHAnsi" w:cs="Arial"/>
                <w:sz w:val="22"/>
                <w:szCs w:val="22"/>
              </w:rPr>
            </w:pPr>
            <w:r w:rsidRPr="001D52A0">
              <w:rPr>
                <w:rFonts w:asciiTheme="minorHAnsi" w:hAnsiTheme="minorHAnsi" w:cs="Arial"/>
                <w:sz w:val="22"/>
                <w:szCs w:val="22"/>
              </w:rPr>
              <w:t>272.00</w:t>
            </w:r>
          </w:p>
        </w:tc>
      </w:tr>
      <w:tr w:rsidR="003F49D6" w:rsidRPr="001D52A0" w14:paraId="586E925D" w14:textId="77777777" w:rsidTr="003F49D6">
        <w:tc>
          <w:tcPr>
            <w:tcW w:w="3402" w:type="dxa"/>
            <w:shd w:val="clear" w:color="auto" w:fill="auto"/>
          </w:tcPr>
          <w:p w14:paraId="4B1ABE2C" w14:textId="77777777" w:rsidR="003F49D6" w:rsidRPr="001D52A0" w:rsidRDefault="003F49D6" w:rsidP="003F49D6">
            <w:pPr>
              <w:rPr>
                <w:rFonts w:asciiTheme="minorHAnsi" w:hAnsiTheme="minorHAnsi" w:cs="Arial"/>
                <w:sz w:val="22"/>
                <w:szCs w:val="22"/>
              </w:rPr>
            </w:pPr>
            <w:r w:rsidRPr="001D52A0">
              <w:rPr>
                <w:rFonts w:asciiTheme="minorHAnsi" w:hAnsiTheme="minorHAnsi" w:cs="Arial"/>
                <w:sz w:val="22"/>
                <w:szCs w:val="22"/>
              </w:rPr>
              <w:t>Mattresses (per mattress)</w:t>
            </w:r>
          </w:p>
        </w:tc>
        <w:tc>
          <w:tcPr>
            <w:tcW w:w="2958" w:type="dxa"/>
          </w:tcPr>
          <w:p w14:paraId="5BFE8C81" w14:textId="77777777" w:rsidR="003F49D6" w:rsidRPr="001D52A0" w:rsidRDefault="003F49D6" w:rsidP="00E34F0E">
            <w:pPr>
              <w:rPr>
                <w:rFonts w:asciiTheme="minorHAnsi" w:hAnsiTheme="minorHAnsi" w:cs="Arial"/>
                <w:sz w:val="22"/>
                <w:szCs w:val="22"/>
              </w:rPr>
            </w:pPr>
            <w:r w:rsidRPr="001D52A0">
              <w:rPr>
                <w:rFonts w:asciiTheme="minorHAnsi" w:hAnsiTheme="minorHAnsi" w:cs="Arial"/>
                <w:sz w:val="22"/>
                <w:szCs w:val="22"/>
              </w:rPr>
              <w:t>15.00</w:t>
            </w:r>
          </w:p>
        </w:tc>
        <w:tc>
          <w:tcPr>
            <w:tcW w:w="2959" w:type="dxa"/>
          </w:tcPr>
          <w:p w14:paraId="4F6107A1" w14:textId="77777777" w:rsidR="003F49D6" w:rsidRPr="001D52A0" w:rsidRDefault="003F49D6" w:rsidP="00E34F0E">
            <w:pPr>
              <w:rPr>
                <w:rFonts w:asciiTheme="minorHAnsi" w:hAnsiTheme="minorHAnsi" w:cs="Arial"/>
                <w:sz w:val="22"/>
                <w:szCs w:val="22"/>
              </w:rPr>
            </w:pPr>
            <w:r w:rsidRPr="001D52A0">
              <w:rPr>
                <w:rFonts w:asciiTheme="minorHAnsi" w:hAnsiTheme="minorHAnsi" w:cs="Arial"/>
                <w:sz w:val="22"/>
                <w:szCs w:val="22"/>
              </w:rPr>
              <w:t>15.00</w:t>
            </w:r>
          </w:p>
        </w:tc>
      </w:tr>
      <w:tr w:rsidR="003F49D6" w:rsidRPr="001D52A0" w14:paraId="000656A3" w14:textId="77777777" w:rsidTr="003F49D6">
        <w:tc>
          <w:tcPr>
            <w:tcW w:w="3402" w:type="dxa"/>
            <w:shd w:val="clear" w:color="auto" w:fill="auto"/>
          </w:tcPr>
          <w:p w14:paraId="24F1E2B0" w14:textId="77777777" w:rsidR="003F49D6" w:rsidRPr="001D52A0" w:rsidRDefault="003F49D6" w:rsidP="003F49D6">
            <w:pPr>
              <w:rPr>
                <w:rFonts w:asciiTheme="minorHAnsi" w:hAnsiTheme="minorHAnsi" w:cs="Arial"/>
                <w:sz w:val="22"/>
                <w:szCs w:val="22"/>
              </w:rPr>
            </w:pPr>
            <w:r w:rsidRPr="001D52A0">
              <w:rPr>
                <w:rFonts w:asciiTheme="minorHAnsi" w:hAnsiTheme="minorHAnsi" w:cs="Arial"/>
                <w:sz w:val="22"/>
                <w:szCs w:val="22"/>
              </w:rPr>
              <w:t>Bulky items</w:t>
            </w:r>
          </w:p>
        </w:tc>
        <w:tc>
          <w:tcPr>
            <w:tcW w:w="2958" w:type="dxa"/>
          </w:tcPr>
          <w:p w14:paraId="6E9238CD" w14:textId="77777777" w:rsidR="003F49D6" w:rsidRPr="001D52A0" w:rsidRDefault="003F49D6" w:rsidP="00E34F0E">
            <w:pPr>
              <w:rPr>
                <w:rFonts w:asciiTheme="minorHAnsi" w:hAnsiTheme="minorHAnsi" w:cs="Arial"/>
                <w:sz w:val="22"/>
                <w:szCs w:val="22"/>
              </w:rPr>
            </w:pPr>
            <w:r w:rsidRPr="001D52A0">
              <w:rPr>
                <w:rFonts w:asciiTheme="minorHAnsi" w:hAnsiTheme="minorHAnsi" w:cs="Arial"/>
                <w:sz w:val="22"/>
                <w:szCs w:val="22"/>
              </w:rPr>
              <w:t>218.00</w:t>
            </w:r>
          </w:p>
        </w:tc>
        <w:tc>
          <w:tcPr>
            <w:tcW w:w="2959" w:type="dxa"/>
          </w:tcPr>
          <w:p w14:paraId="7A99F985" w14:textId="77777777" w:rsidR="003F49D6" w:rsidRPr="001D52A0" w:rsidRDefault="003F49D6" w:rsidP="00E34F0E">
            <w:pPr>
              <w:rPr>
                <w:rFonts w:asciiTheme="minorHAnsi" w:hAnsiTheme="minorHAnsi" w:cs="Arial"/>
                <w:sz w:val="22"/>
                <w:szCs w:val="22"/>
              </w:rPr>
            </w:pPr>
            <w:r w:rsidRPr="001D52A0">
              <w:rPr>
                <w:rFonts w:asciiTheme="minorHAnsi" w:hAnsiTheme="minorHAnsi" w:cs="Arial"/>
                <w:sz w:val="22"/>
                <w:szCs w:val="22"/>
              </w:rPr>
              <w:t>218.00</w:t>
            </w:r>
          </w:p>
        </w:tc>
      </w:tr>
      <w:tr w:rsidR="003F49D6" w:rsidRPr="001D52A0" w14:paraId="73FD8E6D" w14:textId="77777777" w:rsidTr="003F49D6">
        <w:tc>
          <w:tcPr>
            <w:tcW w:w="3402" w:type="dxa"/>
            <w:shd w:val="clear" w:color="auto" w:fill="auto"/>
          </w:tcPr>
          <w:p w14:paraId="0E364D50" w14:textId="77777777" w:rsidR="003F49D6" w:rsidRPr="001D52A0" w:rsidRDefault="003F49D6" w:rsidP="003F49D6">
            <w:pPr>
              <w:rPr>
                <w:rFonts w:asciiTheme="minorHAnsi" w:hAnsiTheme="minorHAnsi" w:cs="Arial"/>
                <w:sz w:val="22"/>
                <w:szCs w:val="22"/>
              </w:rPr>
            </w:pPr>
            <w:r w:rsidRPr="001D52A0">
              <w:rPr>
                <w:rFonts w:asciiTheme="minorHAnsi" w:hAnsiTheme="minorHAnsi" w:cs="Arial"/>
                <w:sz w:val="22"/>
                <w:szCs w:val="22"/>
              </w:rPr>
              <w:t>Gas bottles from commercial sources</w:t>
            </w:r>
          </w:p>
        </w:tc>
        <w:tc>
          <w:tcPr>
            <w:tcW w:w="2958" w:type="dxa"/>
          </w:tcPr>
          <w:p w14:paraId="54409BFA" w14:textId="77777777" w:rsidR="003F49D6" w:rsidRPr="001D52A0" w:rsidRDefault="003F49D6" w:rsidP="00E34F0E">
            <w:pPr>
              <w:rPr>
                <w:rFonts w:asciiTheme="minorHAnsi" w:hAnsiTheme="minorHAnsi" w:cs="Arial"/>
                <w:sz w:val="22"/>
                <w:szCs w:val="22"/>
              </w:rPr>
            </w:pPr>
            <w:r w:rsidRPr="001D52A0">
              <w:rPr>
                <w:rFonts w:asciiTheme="minorHAnsi" w:hAnsiTheme="minorHAnsi" w:cs="Arial"/>
                <w:sz w:val="22"/>
                <w:szCs w:val="22"/>
              </w:rPr>
              <w:t>5.00</w:t>
            </w:r>
          </w:p>
        </w:tc>
        <w:tc>
          <w:tcPr>
            <w:tcW w:w="2959" w:type="dxa"/>
          </w:tcPr>
          <w:p w14:paraId="4DACA9DE" w14:textId="77777777" w:rsidR="003F49D6" w:rsidRPr="001D52A0" w:rsidRDefault="003F49D6" w:rsidP="00E34F0E">
            <w:pPr>
              <w:rPr>
                <w:rFonts w:asciiTheme="minorHAnsi" w:hAnsiTheme="minorHAnsi" w:cs="Arial"/>
                <w:sz w:val="22"/>
                <w:szCs w:val="22"/>
              </w:rPr>
            </w:pPr>
            <w:r w:rsidRPr="001D52A0">
              <w:rPr>
                <w:rFonts w:asciiTheme="minorHAnsi" w:hAnsiTheme="minorHAnsi" w:cs="Arial"/>
                <w:sz w:val="22"/>
                <w:szCs w:val="22"/>
              </w:rPr>
              <w:t>5.00</w:t>
            </w:r>
          </w:p>
        </w:tc>
      </w:tr>
      <w:tr w:rsidR="003F49D6" w:rsidRPr="001D52A0" w14:paraId="000EC6A1" w14:textId="77777777" w:rsidTr="003F49D6">
        <w:tc>
          <w:tcPr>
            <w:tcW w:w="3402" w:type="dxa"/>
            <w:shd w:val="clear" w:color="auto" w:fill="auto"/>
          </w:tcPr>
          <w:p w14:paraId="614DD133" w14:textId="77777777" w:rsidR="003F49D6" w:rsidRPr="001D52A0" w:rsidRDefault="003F49D6" w:rsidP="003F49D6">
            <w:pPr>
              <w:rPr>
                <w:rFonts w:asciiTheme="minorHAnsi" w:hAnsiTheme="minorHAnsi" w:cs="Arial"/>
                <w:sz w:val="22"/>
                <w:szCs w:val="22"/>
              </w:rPr>
            </w:pPr>
            <w:r w:rsidRPr="001D52A0">
              <w:rPr>
                <w:rFonts w:asciiTheme="minorHAnsi" w:hAnsiTheme="minorHAnsi" w:cs="Arial"/>
                <w:sz w:val="22"/>
                <w:szCs w:val="22"/>
              </w:rPr>
              <w:t>Fire extinguishers from commercial sources</w:t>
            </w:r>
          </w:p>
        </w:tc>
        <w:tc>
          <w:tcPr>
            <w:tcW w:w="2958" w:type="dxa"/>
          </w:tcPr>
          <w:p w14:paraId="015F770F" w14:textId="77777777" w:rsidR="003F49D6" w:rsidRPr="001D52A0" w:rsidRDefault="003F49D6" w:rsidP="00E34F0E">
            <w:pPr>
              <w:rPr>
                <w:rFonts w:asciiTheme="minorHAnsi" w:hAnsiTheme="minorHAnsi" w:cs="Arial"/>
                <w:sz w:val="22"/>
                <w:szCs w:val="22"/>
              </w:rPr>
            </w:pPr>
            <w:r w:rsidRPr="001D52A0">
              <w:rPr>
                <w:rFonts w:asciiTheme="minorHAnsi" w:hAnsiTheme="minorHAnsi" w:cs="Arial"/>
                <w:sz w:val="22"/>
                <w:szCs w:val="22"/>
              </w:rPr>
              <w:t>5.00</w:t>
            </w:r>
          </w:p>
        </w:tc>
        <w:tc>
          <w:tcPr>
            <w:tcW w:w="2959" w:type="dxa"/>
          </w:tcPr>
          <w:p w14:paraId="466732A5" w14:textId="77777777" w:rsidR="003F49D6" w:rsidRPr="001D52A0" w:rsidRDefault="003F49D6" w:rsidP="00E34F0E">
            <w:pPr>
              <w:rPr>
                <w:rFonts w:asciiTheme="minorHAnsi" w:hAnsiTheme="minorHAnsi" w:cs="Arial"/>
                <w:sz w:val="22"/>
                <w:szCs w:val="22"/>
              </w:rPr>
            </w:pPr>
            <w:r w:rsidRPr="001D52A0">
              <w:rPr>
                <w:rFonts w:asciiTheme="minorHAnsi" w:hAnsiTheme="minorHAnsi" w:cs="Arial"/>
                <w:sz w:val="22"/>
                <w:szCs w:val="22"/>
              </w:rPr>
              <w:t>5.00</w:t>
            </w:r>
          </w:p>
        </w:tc>
      </w:tr>
      <w:tr w:rsidR="003F49D6" w:rsidRPr="001D52A0" w14:paraId="00831403" w14:textId="77777777" w:rsidTr="003F49D6">
        <w:tc>
          <w:tcPr>
            <w:tcW w:w="3402" w:type="dxa"/>
            <w:shd w:val="clear" w:color="auto" w:fill="auto"/>
          </w:tcPr>
          <w:p w14:paraId="51E6AF88" w14:textId="77777777" w:rsidR="003F49D6" w:rsidRPr="001D52A0" w:rsidRDefault="003F49D6" w:rsidP="003F49D6">
            <w:pPr>
              <w:rPr>
                <w:rFonts w:asciiTheme="minorHAnsi" w:hAnsiTheme="minorHAnsi" w:cs="Arial"/>
                <w:sz w:val="22"/>
                <w:szCs w:val="22"/>
              </w:rPr>
            </w:pPr>
            <w:r w:rsidRPr="001D52A0">
              <w:rPr>
                <w:rFonts w:asciiTheme="minorHAnsi" w:hAnsiTheme="minorHAnsi" w:cs="Arial"/>
                <w:sz w:val="22"/>
                <w:szCs w:val="22"/>
              </w:rPr>
              <w:t>Fridges from commercial sources</w:t>
            </w:r>
          </w:p>
        </w:tc>
        <w:tc>
          <w:tcPr>
            <w:tcW w:w="2958" w:type="dxa"/>
          </w:tcPr>
          <w:p w14:paraId="19E8D238" w14:textId="77777777" w:rsidR="003F49D6" w:rsidRPr="001D52A0" w:rsidRDefault="003F49D6" w:rsidP="00E34F0E">
            <w:pPr>
              <w:rPr>
                <w:rFonts w:asciiTheme="minorHAnsi" w:hAnsiTheme="minorHAnsi" w:cs="Arial"/>
                <w:sz w:val="22"/>
                <w:szCs w:val="22"/>
              </w:rPr>
            </w:pPr>
            <w:r w:rsidRPr="001D52A0">
              <w:rPr>
                <w:rFonts w:asciiTheme="minorHAnsi" w:hAnsiTheme="minorHAnsi" w:cs="Arial"/>
                <w:sz w:val="22"/>
                <w:szCs w:val="22"/>
              </w:rPr>
              <w:t>40.00</w:t>
            </w:r>
          </w:p>
        </w:tc>
        <w:tc>
          <w:tcPr>
            <w:tcW w:w="2959" w:type="dxa"/>
          </w:tcPr>
          <w:p w14:paraId="13D57F58" w14:textId="77777777" w:rsidR="003F49D6" w:rsidRPr="001D52A0" w:rsidRDefault="003F49D6" w:rsidP="00E34F0E">
            <w:pPr>
              <w:rPr>
                <w:rFonts w:asciiTheme="minorHAnsi" w:hAnsiTheme="minorHAnsi" w:cs="Arial"/>
                <w:sz w:val="22"/>
                <w:szCs w:val="22"/>
              </w:rPr>
            </w:pPr>
            <w:r w:rsidRPr="001D52A0">
              <w:rPr>
                <w:rFonts w:asciiTheme="minorHAnsi" w:hAnsiTheme="minorHAnsi" w:cs="Arial"/>
                <w:sz w:val="22"/>
                <w:szCs w:val="22"/>
              </w:rPr>
              <w:t>40.00</w:t>
            </w:r>
          </w:p>
        </w:tc>
      </w:tr>
    </w:tbl>
    <w:p w14:paraId="3FA35DAE" w14:textId="2CC61E74" w:rsidR="00595650" w:rsidRPr="001D52A0" w:rsidRDefault="00E938B7" w:rsidP="004E4209">
      <w:pPr>
        <w:numPr>
          <w:ilvl w:val="1"/>
          <w:numId w:val="23"/>
        </w:numPr>
        <w:autoSpaceDE w:val="0"/>
        <w:autoSpaceDN w:val="0"/>
        <w:adjustRightInd w:val="0"/>
        <w:spacing w:before="240" w:after="120"/>
        <w:jc w:val="both"/>
        <w:rPr>
          <w:rFonts w:asciiTheme="minorHAnsi" w:hAnsiTheme="minorHAnsi" w:cs="Arial"/>
          <w:sz w:val="22"/>
          <w:szCs w:val="22"/>
          <w:lang w:eastAsia="en-GB"/>
        </w:rPr>
      </w:pPr>
      <w:r w:rsidRPr="001D52A0">
        <w:rPr>
          <w:rFonts w:asciiTheme="minorHAnsi" w:hAnsiTheme="minorHAnsi" w:cs="Arial"/>
          <w:sz w:val="22"/>
          <w:szCs w:val="22"/>
          <w:lang w:eastAsia="en-GB"/>
        </w:rPr>
        <w:t>Changes and f</w:t>
      </w:r>
      <w:r w:rsidR="00595650" w:rsidRPr="001D52A0">
        <w:rPr>
          <w:rFonts w:asciiTheme="minorHAnsi" w:hAnsiTheme="minorHAnsi" w:cs="Arial"/>
          <w:sz w:val="22"/>
          <w:szCs w:val="22"/>
          <w:lang w:eastAsia="en-GB"/>
        </w:rPr>
        <w:t>urther charges may be introduced during the year in response to market conditions and where appropriate in consultation with LB Brent</w:t>
      </w:r>
      <w:r w:rsidR="00A618FE" w:rsidRPr="001D52A0">
        <w:rPr>
          <w:rFonts w:asciiTheme="minorHAnsi" w:hAnsiTheme="minorHAnsi" w:cs="Arial"/>
          <w:sz w:val="22"/>
          <w:szCs w:val="22"/>
          <w:lang w:eastAsia="en-GB"/>
        </w:rPr>
        <w:t xml:space="preserve">. It is recommended that delegated authority be given to the </w:t>
      </w:r>
      <w:r w:rsidR="003639D3" w:rsidRPr="001D52A0">
        <w:rPr>
          <w:rFonts w:asciiTheme="minorHAnsi" w:hAnsiTheme="minorHAnsi" w:cs="Arial"/>
          <w:sz w:val="22"/>
          <w:szCs w:val="22"/>
          <w:lang w:eastAsia="en-GB"/>
        </w:rPr>
        <w:t>Head of Finance and Assistant Director Operations</w:t>
      </w:r>
      <w:r w:rsidR="003F49D6" w:rsidRPr="001D52A0">
        <w:rPr>
          <w:rFonts w:asciiTheme="minorHAnsi" w:hAnsiTheme="minorHAnsi" w:cs="Arial"/>
          <w:sz w:val="22"/>
          <w:szCs w:val="22"/>
          <w:lang w:eastAsia="en-GB"/>
        </w:rPr>
        <w:t xml:space="preserve"> </w:t>
      </w:r>
      <w:r w:rsidR="00A618FE" w:rsidRPr="001D52A0">
        <w:rPr>
          <w:rFonts w:asciiTheme="minorHAnsi" w:hAnsiTheme="minorHAnsi" w:cs="Arial"/>
          <w:sz w:val="22"/>
          <w:szCs w:val="22"/>
          <w:lang w:eastAsia="en-GB"/>
        </w:rPr>
        <w:t xml:space="preserve">to change </w:t>
      </w:r>
      <w:r w:rsidR="00661295" w:rsidRPr="001D52A0">
        <w:rPr>
          <w:rFonts w:asciiTheme="minorHAnsi" w:hAnsiTheme="minorHAnsi" w:cs="Arial"/>
          <w:sz w:val="22"/>
          <w:szCs w:val="22"/>
          <w:lang w:eastAsia="en-GB"/>
        </w:rPr>
        <w:t xml:space="preserve">charges </w:t>
      </w:r>
      <w:r w:rsidR="00A618FE" w:rsidRPr="001D52A0">
        <w:rPr>
          <w:rFonts w:asciiTheme="minorHAnsi" w:hAnsiTheme="minorHAnsi" w:cs="Arial"/>
          <w:sz w:val="22"/>
          <w:szCs w:val="22"/>
          <w:lang w:eastAsia="en-GB"/>
        </w:rPr>
        <w:t xml:space="preserve">in year should the need arise. </w:t>
      </w:r>
    </w:p>
    <w:p w14:paraId="794DA497" w14:textId="5CB12761" w:rsidR="003F49D6" w:rsidRPr="001D52A0" w:rsidRDefault="00E70F64" w:rsidP="004E4209">
      <w:pPr>
        <w:numPr>
          <w:ilvl w:val="1"/>
          <w:numId w:val="23"/>
        </w:numPr>
        <w:autoSpaceDE w:val="0"/>
        <w:autoSpaceDN w:val="0"/>
        <w:adjustRightInd w:val="0"/>
        <w:spacing w:before="240" w:after="120"/>
        <w:jc w:val="both"/>
        <w:rPr>
          <w:rFonts w:asciiTheme="minorHAnsi" w:hAnsiTheme="minorHAnsi" w:cs="Arial"/>
          <w:sz w:val="22"/>
          <w:szCs w:val="22"/>
          <w:lang w:eastAsia="en-GB"/>
        </w:rPr>
      </w:pPr>
      <w:r w:rsidRPr="001D52A0">
        <w:rPr>
          <w:rFonts w:asciiTheme="minorHAnsi" w:hAnsiTheme="minorHAnsi" w:cs="Arial"/>
          <w:sz w:val="22"/>
          <w:szCs w:val="22"/>
          <w:lang w:eastAsia="en-GB"/>
        </w:rPr>
        <w:t xml:space="preserve">Other income includes </w:t>
      </w:r>
      <w:r w:rsidR="00513596" w:rsidRPr="001D52A0">
        <w:rPr>
          <w:rFonts w:asciiTheme="minorHAnsi" w:hAnsiTheme="minorHAnsi" w:cs="Arial"/>
          <w:sz w:val="22"/>
          <w:szCs w:val="22"/>
          <w:lang w:eastAsia="en-GB"/>
        </w:rPr>
        <w:t xml:space="preserve">an agency fee which passes on the costs of running the </w:t>
      </w:r>
      <w:r w:rsidR="00361744" w:rsidRPr="001D52A0">
        <w:rPr>
          <w:rFonts w:asciiTheme="minorHAnsi" w:hAnsiTheme="minorHAnsi" w:cs="Arial"/>
          <w:sz w:val="22"/>
          <w:szCs w:val="22"/>
          <w:lang w:eastAsia="en-GB"/>
        </w:rPr>
        <w:t xml:space="preserve">Abbey Road </w:t>
      </w:r>
      <w:r w:rsidR="00513596" w:rsidRPr="001D52A0">
        <w:rPr>
          <w:rFonts w:asciiTheme="minorHAnsi" w:hAnsiTheme="minorHAnsi" w:cs="Arial"/>
          <w:sz w:val="22"/>
          <w:szCs w:val="22"/>
          <w:lang w:eastAsia="en-GB"/>
        </w:rPr>
        <w:t xml:space="preserve">HRRC to the local borough. This </w:t>
      </w:r>
      <w:r w:rsidR="000839EF" w:rsidRPr="001D52A0">
        <w:rPr>
          <w:rFonts w:asciiTheme="minorHAnsi" w:hAnsiTheme="minorHAnsi" w:cs="Arial"/>
          <w:sz w:val="22"/>
          <w:szCs w:val="22"/>
          <w:lang w:eastAsia="en-GB"/>
        </w:rPr>
        <w:t xml:space="preserve">fee </w:t>
      </w:r>
      <w:r w:rsidR="003639D3" w:rsidRPr="001D52A0">
        <w:rPr>
          <w:rFonts w:asciiTheme="minorHAnsi" w:hAnsiTheme="minorHAnsi" w:cs="Arial"/>
          <w:sz w:val="22"/>
          <w:szCs w:val="22"/>
          <w:lang w:eastAsia="en-GB"/>
        </w:rPr>
        <w:t>has</w:t>
      </w:r>
      <w:r w:rsidR="000839EF" w:rsidRPr="001D52A0">
        <w:rPr>
          <w:rFonts w:asciiTheme="minorHAnsi" w:hAnsiTheme="minorHAnsi" w:cs="Arial"/>
          <w:sz w:val="22"/>
          <w:szCs w:val="22"/>
          <w:lang w:eastAsia="en-GB"/>
        </w:rPr>
        <w:t xml:space="preserve"> increased by 26%.  The fee has</w:t>
      </w:r>
      <w:r w:rsidR="003639D3" w:rsidRPr="001D52A0">
        <w:rPr>
          <w:rFonts w:asciiTheme="minorHAnsi" w:hAnsiTheme="minorHAnsi" w:cs="Arial"/>
          <w:sz w:val="22"/>
          <w:szCs w:val="22"/>
          <w:lang w:eastAsia="en-GB"/>
        </w:rPr>
        <w:t xml:space="preserve"> </w:t>
      </w:r>
      <w:r w:rsidR="000839EF" w:rsidRPr="001D52A0">
        <w:rPr>
          <w:rFonts w:asciiTheme="minorHAnsi" w:hAnsiTheme="minorHAnsi" w:cs="Arial"/>
          <w:sz w:val="22"/>
          <w:szCs w:val="22"/>
          <w:lang w:eastAsia="en-GB"/>
        </w:rPr>
        <w:t xml:space="preserve">remained flat for several years, but in the current year additional support is required due to the increase in throughput of street cleansing material.  To support this in line with our Health and Safety policy, an additional Traffic Controller has </w:t>
      </w:r>
      <w:r w:rsidR="003639D3" w:rsidRPr="001D52A0">
        <w:rPr>
          <w:rFonts w:asciiTheme="minorHAnsi" w:hAnsiTheme="minorHAnsi" w:cs="Arial"/>
          <w:sz w:val="22"/>
          <w:szCs w:val="22"/>
          <w:lang w:eastAsia="en-GB"/>
        </w:rPr>
        <w:t>been</w:t>
      </w:r>
      <w:r w:rsidR="000839EF" w:rsidRPr="001D52A0">
        <w:rPr>
          <w:rFonts w:asciiTheme="minorHAnsi" w:hAnsiTheme="minorHAnsi" w:cs="Arial"/>
          <w:sz w:val="22"/>
          <w:szCs w:val="22"/>
          <w:lang w:eastAsia="en-GB"/>
        </w:rPr>
        <w:t xml:space="preserve"> added to the budget.</w:t>
      </w:r>
      <w:r w:rsidR="003639D3" w:rsidRPr="001D52A0">
        <w:rPr>
          <w:rFonts w:asciiTheme="minorHAnsi" w:hAnsiTheme="minorHAnsi" w:cs="Arial"/>
          <w:sz w:val="22"/>
          <w:szCs w:val="22"/>
          <w:lang w:eastAsia="en-GB"/>
        </w:rPr>
        <w:t xml:space="preserve"> </w:t>
      </w:r>
    </w:p>
    <w:p w14:paraId="32B02BFE" w14:textId="48896A6A" w:rsidR="005633D5" w:rsidRPr="001D52A0" w:rsidRDefault="0048377C" w:rsidP="004E4209">
      <w:pPr>
        <w:numPr>
          <w:ilvl w:val="1"/>
          <w:numId w:val="23"/>
        </w:numPr>
        <w:autoSpaceDE w:val="0"/>
        <w:autoSpaceDN w:val="0"/>
        <w:adjustRightInd w:val="0"/>
        <w:spacing w:before="240" w:after="120"/>
        <w:jc w:val="both"/>
        <w:rPr>
          <w:rFonts w:asciiTheme="minorHAnsi" w:hAnsiTheme="minorHAnsi" w:cs="Arial"/>
          <w:sz w:val="22"/>
          <w:szCs w:val="22"/>
          <w:lang w:eastAsia="en-GB"/>
        </w:rPr>
      </w:pPr>
      <w:r w:rsidRPr="001D52A0">
        <w:rPr>
          <w:rFonts w:asciiTheme="minorHAnsi" w:hAnsiTheme="minorHAnsi" w:cs="Arial"/>
          <w:sz w:val="22"/>
          <w:szCs w:val="22"/>
          <w:lang w:eastAsia="en-GB"/>
        </w:rPr>
        <w:t>In July 202</w:t>
      </w:r>
      <w:r w:rsidR="00B239E6" w:rsidRPr="001D52A0">
        <w:rPr>
          <w:rFonts w:asciiTheme="minorHAnsi" w:hAnsiTheme="minorHAnsi" w:cs="Arial"/>
          <w:sz w:val="22"/>
          <w:szCs w:val="22"/>
          <w:lang w:eastAsia="en-GB"/>
        </w:rPr>
        <w:t>4</w:t>
      </w:r>
      <w:r w:rsidRPr="001D52A0">
        <w:rPr>
          <w:rFonts w:asciiTheme="minorHAnsi" w:hAnsiTheme="minorHAnsi" w:cs="Arial"/>
          <w:sz w:val="22"/>
          <w:szCs w:val="22"/>
          <w:lang w:eastAsia="en-GB"/>
        </w:rPr>
        <w:t xml:space="preserve"> </w:t>
      </w:r>
      <w:r w:rsidR="00FF165B" w:rsidRPr="001D52A0">
        <w:rPr>
          <w:rFonts w:asciiTheme="minorHAnsi" w:hAnsiTheme="minorHAnsi" w:cs="Arial"/>
          <w:sz w:val="22"/>
          <w:szCs w:val="22"/>
          <w:lang w:eastAsia="en-GB"/>
        </w:rPr>
        <w:t xml:space="preserve">the PPP contractor will pay the Authority </w:t>
      </w:r>
      <w:r w:rsidR="00C47147" w:rsidRPr="001D52A0">
        <w:rPr>
          <w:rFonts w:asciiTheme="minorHAnsi" w:hAnsiTheme="minorHAnsi" w:cs="Arial"/>
          <w:sz w:val="22"/>
          <w:szCs w:val="22"/>
          <w:lang w:eastAsia="en-GB"/>
        </w:rPr>
        <w:t xml:space="preserve">its share of </w:t>
      </w:r>
      <w:r w:rsidR="00FF165B" w:rsidRPr="001D52A0">
        <w:rPr>
          <w:rFonts w:asciiTheme="minorHAnsi" w:hAnsiTheme="minorHAnsi" w:cs="Arial"/>
          <w:sz w:val="22"/>
          <w:szCs w:val="22"/>
          <w:lang w:eastAsia="en-GB"/>
        </w:rPr>
        <w:t>income in relation to the PPP contract, principally electricity generation income.</w:t>
      </w:r>
      <w:r w:rsidR="00FB459C" w:rsidRPr="001D52A0">
        <w:rPr>
          <w:rFonts w:asciiTheme="minorHAnsi" w:hAnsiTheme="minorHAnsi" w:cs="Arial"/>
          <w:sz w:val="22"/>
          <w:szCs w:val="22"/>
          <w:lang w:eastAsia="en-GB"/>
        </w:rPr>
        <w:t xml:space="preserve"> </w:t>
      </w:r>
    </w:p>
    <w:p w14:paraId="2B9481EC" w14:textId="0F7DDD95" w:rsidR="00FB459C" w:rsidRPr="001D52A0" w:rsidRDefault="005633D5" w:rsidP="004E4209">
      <w:pPr>
        <w:numPr>
          <w:ilvl w:val="1"/>
          <w:numId w:val="23"/>
        </w:numPr>
        <w:autoSpaceDE w:val="0"/>
        <w:autoSpaceDN w:val="0"/>
        <w:adjustRightInd w:val="0"/>
        <w:spacing w:before="240" w:after="120"/>
        <w:jc w:val="both"/>
        <w:rPr>
          <w:rFonts w:asciiTheme="minorHAnsi" w:hAnsiTheme="minorHAnsi" w:cs="Arial"/>
          <w:sz w:val="22"/>
          <w:szCs w:val="22"/>
          <w:lang w:eastAsia="en-GB"/>
        </w:rPr>
      </w:pPr>
      <w:r w:rsidRPr="001D52A0">
        <w:rPr>
          <w:rFonts w:asciiTheme="minorHAnsi" w:hAnsiTheme="minorHAnsi" w:cs="Arial"/>
          <w:sz w:val="22"/>
          <w:szCs w:val="22"/>
          <w:lang w:eastAsia="en-GB"/>
        </w:rPr>
        <w:t>At this stage, e</w:t>
      </w:r>
      <w:r w:rsidR="00FB459C" w:rsidRPr="001D52A0">
        <w:rPr>
          <w:rFonts w:asciiTheme="minorHAnsi" w:hAnsiTheme="minorHAnsi" w:cs="Arial"/>
          <w:sz w:val="22"/>
          <w:szCs w:val="22"/>
          <w:lang w:eastAsia="en-GB"/>
        </w:rPr>
        <w:t>stimation of th</w:t>
      </w:r>
      <w:r w:rsidRPr="001D52A0">
        <w:rPr>
          <w:rFonts w:asciiTheme="minorHAnsi" w:hAnsiTheme="minorHAnsi" w:cs="Arial"/>
          <w:sz w:val="22"/>
          <w:szCs w:val="22"/>
          <w:lang w:eastAsia="en-GB"/>
        </w:rPr>
        <w:t>e</w:t>
      </w:r>
      <w:r w:rsidR="00FB459C" w:rsidRPr="001D52A0">
        <w:rPr>
          <w:rFonts w:asciiTheme="minorHAnsi" w:hAnsiTheme="minorHAnsi" w:cs="Arial"/>
          <w:sz w:val="22"/>
          <w:szCs w:val="22"/>
          <w:lang w:eastAsia="en-GB"/>
        </w:rPr>
        <w:t xml:space="preserve"> sum </w:t>
      </w:r>
      <w:r w:rsidRPr="001D52A0">
        <w:rPr>
          <w:rFonts w:asciiTheme="minorHAnsi" w:hAnsiTheme="minorHAnsi" w:cs="Arial"/>
          <w:sz w:val="22"/>
          <w:szCs w:val="22"/>
          <w:lang w:eastAsia="en-GB"/>
        </w:rPr>
        <w:t xml:space="preserve">due </w:t>
      </w:r>
      <w:r w:rsidR="00FB459C" w:rsidRPr="001D52A0">
        <w:rPr>
          <w:rFonts w:asciiTheme="minorHAnsi" w:hAnsiTheme="minorHAnsi" w:cs="Arial"/>
          <w:sz w:val="22"/>
          <w:szCs w:val="22"/>
          <w:lang w:eastAsia="en-GB"/>
        </w:rPr>
        <w:t>is inherent with market risks (electricity prices are volatile), political risks (</w:t>
      </w:r>
      <w:r w:rsidR="002836AE" w:rsidRPr="001D52A0">
        <w:rPr>
          <w:rFonts w:asciiTheme="minorHAnsi" w:hAnsiTheme="minorHAnsi" w:cs="Arial"/>
          <w:sz w:val="22"/>
          <w:szCs w:val="22"/>
          <w:lang w:eastAsia="en-GB"/>
        </w:rPr>
        <w:t xml:space="preserve">detailed working of the </w:t>
      </w:r>
      <w:r w:rsidR="00FB459C" w:rsidRPr="001D52A0">
        <w:rPr>
          <w:rFonts w:asciiTheme="minorHAnsi" w:hAnsiTheme="minorHAnsi" w:cs="Arial"/>
          <w:sz w:val="22"/>
          <w:szCs w:val="22"/>
          <w:lang w:eastAsia="en-GB"/>
        </w:rPr>
        <w:t xml:space="preserve">windfall tax) and economic risks (the impact of industrial action </w:t>
      </w:r>
      <w:r w:rsidR="0019617C" w:rsidRPr="001D52A0">
        <w:rPr>
          <w:rFonts w:asciiTheme="minorHAnsi" w:hAnsiTheme="minorHAnsi" w:cs="Arial"/>
          <w:sz w:val="22"/>
          <w:szCs w:val="22"/>
          <w:lang w:eastAsia="en-GB"/>
        </w:rPr>
        <w:t>on the power production). Neverthe</w:t>
      </w:r>
      <w:r w:rsidR="00FB459C" w:rsidRPr="001D52A0">
        <w:rPr>
          <w:rFonts w:asciiTheme="minorHAnsi" w:hAnsiTheme="minorHAnsi" w:cs="Arial"/>
          <w:sz w:val="22"/>
          <w:szCs w:val="22"/>
          <w:lang w:eastAsia="en-GB"/>
        </w:rPr>
        <w:t xml:space="preserve">less, it is </w:t>
      </w:r>
      <w:r w:rsidR="007C4220" w:rsidRPr="001D52A0">
        <w:rPr>
          <w:rFonts w:asciiTheme="minorHAnsi" w:hAnsiTheme="minorHAnsi" w:cs="Arial"/>
          <w:sz w:val="22"/>
          <w:szCs w:val="22"/>
          <w:lang w:eastAsia="en-GB"/>
        </w:rPr>
        <w:t>predicted</w:t>
      </w:r>
      <w:r w:rsidR="00FB459C" w:rsidRPr="001D52A0">
        <w:rPr>
          <w:rFonts w:asciiTheme="minorHAnsi" w:hAnsiTheme="minorHAnsi" w:cs="Arial"/>
          <w:sz w:val="22"/>
          <w:szCs w:val="22"/>
          <w:lang w:eastAsia="en-GB"/>
        </w:rPr>
        <w:t xml:space="preserve"> that the Authority will see income </w:t>
      </w:r>
      <w:r w:rsidR="007C4220" w:rsidRPr="001D52A0">
        <w:rPr>
          <w:rFonts w:asciiTheme="minorHAnsi" w:hAnsiTheme="minorHAnsi" w:cs="Arial"/>
          <w:sz w:val="22"/>
          <w:szCs w:val="22"/>
          <w:lang w:eastAsia="en-GB"/>
        </w:rPr>
        <w:t xml:space="preserve">in the region of </w:t>
      </w:r>
      <w:r w:rsidR="00FB459C" w:rsidRPr="001D52A0">
        <w:rPr>
          <w:rFonts w:asciiTheme="minorHAnsi" w:hAnsiTheme="minorHAnsi" w:cs="Arial"/>
          <w:sz w:val="22"/>
          <w:szCs w:val="22"/>
          <w:lang w:eastAsia="en-GB"/>
        </w:rPr>
        <w:t>£</w:t>
      </w:r>
      <w:r w:rsidR="007C4220" w:rsidRPr="001D52A0">
        <w:rPr>
          <w:rFonts w:asciiTheme="minorHAnsi" w:hAnsiTheme="minorHAnsi" w:cs="Arial"/>
          <w:sz w:val="22"/>
          <w:szCs w:val="22"/>
          <w:lang w:eastAsia="en-GB"/>
        </w:rPr>
        <w:t>6.</w:t>
      </w:r>
      <w:r w:rsidR="004B0BF0" w:rsidRPr="001D52A0">
        <w:rPr>
          <w:rFonts w:asciiTheme="minorHAnsi" w:hAnsiTheme="minorHAnsi" w:cs="Arial"/>
          <w:sz w:val="22"/>
          <w:szCs w:val="22"/>
          <w:lang w:eastAsia="en-GB"/>
        </w:rPr>
        <w:t>3</w:t>
      </w:r>
      <w:r w:rsidR="007C4220" w:rsidRPr="001D52A0">
        <w:rPr>
          <w:rFonts w:asciiTheme="minorHAnsi" w:hAnsiTheme="minorHAnsi" w:cs="Arial"/>
          <w:sz w:val="22"/>
          <w:szCs w:val="22"/>
          <w:lang w:eastAsia="en-GB"/>
        </w:rPr>
        <w:t xml:space="preserve"> </w:t>
      </w:r>
      <w:r w:rsidR="00FB459C" w:rsidRPr="001D52A0">
        <w:rPr>
          <w:rFonts w:asciiTheme="minorHAnsi" w:hAnsiTheme="minorHAnsi" w:cs="Arial"/>
          <w:sz w:val="22"/>
          <w:szCs w:val="22"/>
          <w:lang w:eastAsia="en-GB"/>
        </w:rPr>
        <w:t>million</w:t>
      </w:r>
      <w:r w:rsidR="001151DF" w:rsidRPr="001D52A0">
        <w:rPr>
          <w:rFonts w:asciiTheme="minorHAnsi" w:hAnsiTheme="minorHAnsi" w:cs="Arial"/>
          <w:sz w:val="22"/>
          <w:szCs w:val="22"/>
          <w:lang w:eastAsia="en-GB"/>
        </w:rPr>
        <w:t xml:space="preserve"> </w:t>
      </w:r>
      <w:r w:rsidR="00FB459C" w:rsidRPr="001D52A0">
        <w:rPr>
          <w:rFonts w:asciiTheme="minorHAnsi" w:hAnsiTheme="minorHAnsi" w:cs="Arial"/>
          <w:sz w:val="22"/>
          <w:szCs w:val="22"/>
          <w:lang w:eastAsia="en-GB"/>
        </w:rPr>
        <w:t>if we assume ongoing electricity production and prices at the current levels</w:t>
      </w:r>
      <w:r w:rsidR="002836AE" w:rsidRPr="001D52A0">
        <w:rPr>
          <w:rFonts w:asciiTheme="minorHAnsi" w:hAnsiTheme="minorHAnsi" w:cs="Arial"/>
          <w:sz w:val="22"/>
          <w:szCs w:val="22"/>
          <w:lang w:eastAsia="en-GB"/>
        </w:rPr>
        <w:t xml:space="preserve"> and </w:t>
      </w:r>
      <w:r w:rsidR="00967E27" w:rsidRPr="001D52A0">
        <w:rPr>
          <w:rFonts w:asciiTheme="minorHAnsi" w:hAnsiTheme="minorHAnsi" w:cs="Arial"/>
          <w:sz w:val="22"/>
          <w:szCs w:val="22"/>
          <w:lang w:eastAsia="en-GB"/>
        </w:rPr>
        <w:t>that there is no impact of the windfall tax</w:t>
      </w:r>
      <w:r w:rsidR="002836AE" w:rsidRPr="001D52A0">
        <w:rPr>
          <w:rFonts w:asciiTheme="minorHAnsi" w:hAnsiTheme="minorHAnsi" w:cs="Arial"/>
          <w:sz w:val="22"/>
          <w:szCs w:val="22"/>
          <w:lang w:eastAsia="en-GB"/>
        </w:rPr>
        <w:t>.</w:t>
      </w:r>
      <w:r w:rsidR="00FB459C" w:rsidRPr="001D52A0">
        <w:rPr>
          <w:rFonts w:asciiTheme="minorHAnsi" w:hAnsiTheme="minorHAnsi" w:cs="Arial"/>
          <w:sz w:val="22"/>
          <w:szCs w:val="22"/>
          <w:lang w:eastAsia="en-GB"/>
        </w:rPr>
        <w:t xml:space="preserve"> </w:t>
      </w:r>
    </w:p>
    <w:p w14:paraId="7B48FB9E" w14:textId="63057800" w:rsidR="00FB459C" w:rsidRPr="001D52A0" w:rsidRDefault="00FB459C" w:rsidP="004E4209">
      <w:pPr>
        <w:numPr>
          <w:ilvl w:val="1"/>
          <w:numId w:val="23"/>
        </w:numPr>
        <w:autoSpaceDE w:val="0"/>
        <w:autoSpaceDN w:val="0"/>
        <w:adjustRightInd w:val="0"/>
        <w:spacing w:before="240" w:after="120"/>
        <w:jc w:val="both"/>
        <w:rPr>
          <w:rFonts w:asciiTheme="minorHAnsi" w:hAnsiTheme="minorHAnsi" w:cs="Arial"/>
          <w:sz w:val="22"/>
          <w:szCs w:val="22"/>
          <w:lang w:eastAsia="en-GB"/>
        </w:rPr>
      </w:pPr>
      <w:r w:rsidRPr="001D52A0">
        <w:rPr>
          <w:rFonts w:asciiTheme="minorHAnsi" w:hAnsiTheme="minorHAnsi" w:cs="Arial"/>
          <w:sz w:val="22"/>
          <w:szCs w:val="22"/>
          <w:lang w:eastAsia="en-GB"/>
        </w:rPr>
        <w:t>On this basis the estimated distribution to boroughs on receipt of funds from the contra</w:t>
      </w:r>
      <w:r w:rsidR="004B0BF0" w:rsidRPr="001D52A0">
        <w:rPr>
          <w:rFonts w:asciiTheme="minorHAnsi" w:hAnsiTheme="minorHAnsi" w:cs="Arial"/>
          <w:sz w:val="22"/>
          <w:szCs w:val="22"/>
          <w:lang w:eastAsia="en-GB"/>
        </w:rPr>
        <w:t>ctor will be in the region of £0.7</w:t>
      </w:r>
      <w:r w:rsidRPr="001D52A0">
        <w:rPr>
          <w:rFonts w:asciiTheme="minorHAnsi" w:hAnsiTheme="minorHAnsi" w:cs="Arial"/>
          <w:sz w:val="22"/>
          <w:szCs w:val="22"/>
          <w:lang w:eastAsia="en-GB"/>
        </w:rPr>
        <w:t xml:space="preserve"> million each</w:t>
      </w:r>
      <w:r w:rsidR="005633D5" w:rsidRPr="001D52A0">
        <w:rPr>
          <w:rFonts w:asciiTheme="minorHAnsi" w:hAnsiTheme="minorHAnsi" w:cs="Arial"/>
          <w:sz w:val="22"/>
          <w:szCs w:val="22"/>
          <w:lang w:eastAsia="en-GB"/>
        </w:rPr>
        <w:t xml:space="preserve">. This represents the two thirds pass through to boroughs of the estimated PPP income </w:t>
      </w:r>
      <w:r w:rsidR="00C47147" w:rsidRPr="001D52A0">
        <w:rPr>
          <w:rFonts w:asciiTheme="minorHAnsi" w:hAnsiTheme="minorHAnsi" w:cs="Arial"/>
          <w:sz w:val="22"/>
          <w:szCs w:val="22"/>
          <w:lang w:eastAsia="en-GB"/>
        </w:rPr>
        <w:t xml:space="preserve">(in accordance with the Finance Strategy) which will be apportioned to each borough using the final approved council tax base. </w:t>
      </w:r>
    </w:p>
    <w:p w14:paraId="39E9E824" w14:textId="77777777" w:rsidR="00FB459C" w:rsidRPr="001D52A0" w:rsidRDefault="005633D5" w:rsidP="004E4209">
      <w:pPr>
        <w:numPr>
          <w:ilvl w:val="1"/>
          <w:numId w:val="23"/>
        </w:numPr>
        <w:autoSpaceDE w:val="0"/>
        <w:autoSpaceDN w:val="0"/>
        <w:adjustRightInd w:val="0"/>
        <w:spacing w:before="240" w:after="120"/>
        <w:jc w:val="both"/>
        <w:rPr>
          <w:rFonts w:asciiTheme="minorHAnsi" w:hAnsiTheme="minorHAnsi" w:cs="Arial"/>
          <w:sz w:val="22"/>
          <w:szCs w:val="22"/>
          <w:lang w:eastAsia="en-GB"/>
        </w:rPr>
      </w:pPr>
      <w:r w:rsidRPr="001D52A0">
        <w:rPr>
          <w:rFonts w:asciiTheme="minorHAnsi" w:hAnsiTheme="minorHAnsi" w:cs="Arial"/>
          <w:sz w:val="22"/>
          <w:szCs w:val="22"/>
          <w:lang w:eastAsia="en-GB"/>
        </w:rPr>
        <w:t>The Authority is mindful of the challenging local authority finances so t</w:t>
      </w:r>
      <w:r w:rsidR="00FB459C" w:rsidRPr="001D52A0">
        <w:rPr>
          <w:rFonts w:asciiTheme="minorHAnsi" w:hAnsiTheme="minorHAnsi" w:cs="Arial"/>
          <w:sz w:val="22"/>
          <w:szCs w:val="22"/>
          <w:lang w:eastAsia="en-GB"/>
        </w:rPr>
        <w:t xml:space="preserve">o </w:t>
      </w:r>
      <w:r w:rsidRPr="001D52A0">
        <w:rPr>
          <w:rFonts w:asciiTheme="minorHAnsi" w:hAnsiTheme="minorHAnsi" w:cs="Arial"/>
          <w:sz w:val="22"/>
          <w:szCs w:val="22"/>
          <w:lang w:eastAsia="en-GB"/>
        </w:rPr>
        <w:t xml:space="preserve">help </w:t>
      </w:r>
      <w:r w:rsidR="00FB459C" w:rsidRPr="001D52A0">
        <w:rPr>
          <w:rFonts w:asciiTheme="minorHAnsi" w:hAnsiTheme="minorHAnsi" w:cs="Arial"/>
          <w:sz w:val="22"/>
          <w:szCs w:val="22"/>
          <w:lang w:eastAsia="en-GB"/>
        </w:rPr>
        <w:t xml:space="preserve">boroughs to budget for this </w:t>
      </w:r>
      <w:r w:rsidRPr="001D52A0">
        <w:rPr>
          <w:rFonts w:asciiTheme="minorHAnsi" w:hAnsiTheme="minorHAnsi" w:cs="Arial"/>
          <w:sz w:val="22"/>
          <w:szCs w:val="22"/>
          <w:lang w:eastAsia="en-GB"/>
        </w:rPr>
        <w:t xml:space="preserve">income </w:t>
      </w:r>
      <w:r w:rsidR="00FB459C" w:rsidRPr="001D52A0">
        <w:rPr>
          <w:rFonts w:asciiTheme="minorHAnsi" w:hAnsiTheme="minorHAnsi" w:cs="Arial"/>
          <w:sz w:val="22"/>
          <w:szCs w:val="22"/>
          <w:lang w:eastAsia="en-GB"/>
        </w:rPr>
        <w:t xml:space="preserve">with </w:t>
      </w:r>
      <w:r w:rsidRPr="001D52A0">
        <w:rPr>
          <w:rFonts w:asciiTheme="minorHAnsi" w:hAnsiTheme="minorHAnsi" w:cs="Arial"/>
          <w:sz w:val="22"/>
          <w:szCs w:val="22"/>
          <w:lang w:eastAsia="en-GB"/>
        </w:rPr>
        <w:t xml:space="preserve">greater </w:t>
      </w:r>
      <w:r w:rsidR="00FB459C" w:rsidRPr="001D52A0">
        <w:rPr>
          <w:rFonts w:asciiTheme="minorHAnsi" w:hAnsiTheme="minorHAnsi" w:cs="Arial"/>
          <w:sz w:val="22"/>
          <w:szCs w:val="22"/>
          <w:lang w:eastAsia="en-GB"/>
        </w:rPr>
        <w:t xml:space="preserve">certainty, the Authority </w:t>
      </w:r>
      <w:r w:rsidRPr="001D52A0">
        <w:rPr>
          <w:rFonts w:asciiTheme="minorHAnsi" w:hAnsiTheme="minorHAnsi" w:cs="Arial"/>
          <w:sz w:val="22"/>
          <w:szCs w:val="22"/>
          <w:lang w:eastAsia="en-GB"/>
        </w:rPr>
        <w:t xml:space="preserve">is committing (through this budget) to the distribution and </w:t>
      </w:r>
      <w:r w:rsidR="00FB459C" w:rsidRPr="001D52A0">
        <w:rPr>
          <w:rFonts w:asciiTheme="minorHAnsi" w:hAnsiTheme="minorHAnsi" w:cs="Arial"/>
          <w:sz w:val="22"/>
          <w:szCs w:val="22"/>
          <w:lang w:eastAsia="en-GB"/>
        </w:rPr>
        <w:t xml:space="preserve">will utilise its reserves to manage the risks </w:t>
      </w:r>
      <w:r w:rsidRPr="001D52A0">
        <w:rPr>
          <w:rFonts w:asciiTheme="minorHAnsi" w:hAnsiTheme="minorHAnsi" w:cs="Arial"/>
          <w:sz w:val="22"/>
          <w:szCs w:val="22"/>
          <w:lang w:eastAsia="en-GB"/>
        </w:rPr>
        <w:t xml:space="preserve">(section 19) </w:t>
      </w:r>
      <w:r w:rsidR="00FB459C" w:rsidRPr="001D52A0">
        <w:rPr>
          <w:rFonts w:asciiTheme="minorHAnsi" w:hAnsiTheme="minorHAnsi" w:cs="Arial"/>
          <w:sz w:val="22"/>
          <w:szCs w:val="22"/>
          <w:lang w:eastAsia="en-GB"/>
        </w:rPr>
        <w:t xml:space="preserve">of non-receipt </w:t>
      </w:r>
      <w:r w:rsidRPr="001D52A0">
        <w:rPr>
          <w:rFonts w:asciiTheme="minorHAnsi" w:hAnsiTheme="minorHAnsi" w:cs="Arial"/>
          <w:sz w:val="22"/>
          <w:szCs w:val="22"/>
          <w:lang w:eastAsia="en-GB"/>
        </w:rPr>
        <w:t xml:space="preserve">on PPP income </w:t>
      </w:r>
      <w:r w:rsidR="00FB459C" w:rsidRPr="001D52A0">
        <w:rPr>
          <w:rFonts w:asciiTheme="minorHAnsi" w:hAnsiTheme="minorHAnsi" w:cs="Arial"/>
          <w:sz w:val="22"/>
          <w:szCs w:val="22"/>
          <w:lang w:eastAsia="en-GB"/>
        </w:rPr>
        <w:t>or receipts being lower than estimated.</w:t>
      </w:r>
      <w:r w:rsidRPr="001D52A0">
        <w:rPr>
          <w:rFonts w:asciiTheme="minorHAnsi" w:hAnsiTheme="minorHAnsi" w:cs="Arial"/>
          <w:sz w:val="22"/>
          <w:szCs w:val="22"/>
          <w:lang w:eastAsia="en-GB"/>
        </w:rPr>
        <w:t xml:space="preserve"> Any additional </w:t>
      </w:r>
      <w:r w:rsidR="00C47147" w:rsidRPr="001D52A0">
        <w:rPr>
          <w:rFonts w:asciiTheme="minorHAnsi" w:hAnsiTheme="minorHAnsi" w:cs="Arial"/>
          <w:sz w:val="22"/>
          <w:szCs w:val="22"/>
          <w:lang w:eastAsia="en-GB"/>
        </w:rPr>
        <w:t xml:space="preserve">PPP </w:t>
      </w:r>
      <w:r w:rsidRPr="001D52A0">
        <w:rPr>
          <w:rFonts w:asciiTheme="minorHAnsi" w:hAnsiTheme="minorHAnsi" w:cs="Arial"/>
          <w:sz w:val="22"/>
          <w:szCs w:val="22"/>
          <w:lang w:eastAsia="en-GB"/>
        </w:rPr>
        <w:t>income received will also be shared in accordance with the Finance Strategy.</w:t>
      </w:r>
    </w:p>
    <w:p w14:paraId="5D7B7DC6" w14:textId="02F2A866" w:rsidR="00713A83" w:rsidRPr="001D52A0" w:rsidRDefault="00CA4F0C" w:rsidP="000C73F6">
      <w:pPr>
        <w:autoSpaceDE w:val="0"/>
        <w:autoSpaceDN w:val="0"/>
        <w:adjustRightInd w:val="0"/>
        <w:spacing w:before="240" w:after="120"/>
        <w:jc w:val="both"/>
        <w:rPr>
          <w:rFonts w:asciiTheme="minorHAnsi" w:hAnsiTheme="minorHAnsi" w:cs="Arial"/>
          <w:b/>
          <w:sz w:val="22"/>
          <w:szCs w:val="22"/>
          <w:lang w:eastAsia="en-GB"/>
        </w:rPr>
      </w:pPr>
      <w:r w:rsidRPr="001D52A0">
        <w:rPr>
          <w:rFonts w:asciiTheme="minorHAnsi" w:hAnsiTheme="minorHAnsi" w:cs="Arial"/>
          <w:b/>
          <w:sz w:val="22"/>
          <w:szCs w:val="22"/>
          <w:lang w:eastAsia="en-GB"/>
        </w:rPr>
        <w:t>1</w:t>
      </w:r>
      <w:r w:rsidR="00361744" w:rsidRPr="001D52A0">
        <w:rPr>
          <w:rFonts w:asciiTheme="minorHAnsi" w:hAnsiTheme="minorHAnsi" w:cs="Arial"/>
          <w:b/>
          <w:sz w:val="22"/>
          <w:szCs w:val="22"/>
          <w:lang w:eastAsia="en-GB"/>
        </w:rPr>
        <w:t>8</w:t>
      </w:r>
      <w:r w:rsidR="00C558DC" w:rsidRPr="001D52A0">
        <w:rPr>
          <w:rFonts w:asciiTheme="minorHAnsi" w:hAnsiTheme="minorHAnsi" w:cs="Arial"/>
          <w:b/>
          <w:sz w:val="22"/>
          <w:szCs w:val="22"/>
          <w:lang w:eastAsia="en-GB"/>
        </w:rPr>
        <w:t xml:space="preserve">. </w:t>
      </w:r>
      <w:r w:rsidR="00713A83" w:rsidRPr="001D52A0">
        <w:rPr>
          <w:rFonts w:asciiTheme="minorHAnsi" w:hAnsiTheme="minorHAnsi" w:cs="Arial"/>
          <w:b/>
          <w:sz w:val="22"/>
          <w:szCs w:val="22"/>
          <w:lang w:eastAsia="en-GB"/>
        </w:rPr>
        <w:t>Capital</w:t>
      </w:r>
    </w:p>
    <w:p w14:paraId="659506D2" w14:textId="77777777" w:rsidR="00713A83" w:rsidRPr="001D52A0" w:rsidRDefault="00713A83" w:rsidP="00F01EF1">
      <w:pPr>
        <w:autoSpaceDE w:val="0"/>
        <w:autoSpaceDN w:val="0"/>
        <w:adjustRightInd w:val="0"/>
        <w:ind w:left="170"/>
        <w:jc w:val="both"/>
        <w:rPr>
          <w:rFonts w:asciiTheme="minorHAnsi" w:hAnsiTheme="minorHAnsi" w:cs="Arial"/>
          <w:sz w:val="22"/>
          <w:szCs w:val="22"/>
          <w:lang w:eastAsia="en-GB"/>
        </w:rPr>
      </w:pPr>
    </w:p>
    <w:p w14:paraId="213383BA" w14:textId="77777777" w:rsidR="00E1707B" w:rsidRPr="001D52A0" w:rsidRDefault="00E1707B" w:rsidP="004E4209">
      <w:pPr>
        <w:pStyle w:val="ListParagraph"/>
        <w:numPr>
          <w:ilvl w:val="0"/>
          <w:numId w:val="10"/>
        </w:numPr>
        <w:autoSpaceDE w:val="0"/>
        <w:autoSpaceDN w:val="0"/>
        <w:adjustRightInd w:val="0"/>
        <w:spacing w:after="120" w:line="240" w:lineRule="auto"/>
        <w:contextualSpacing w:val="0"/>
        <w:jc w:val="both"/>
        <w:rPr>
          <w:rFonts w:asciiTheme="minorHAnsi" w:eastAsia="Times New Roman" w:hAnsiTheme="minorHAnsi"/>
          <w:vanish/>
        </w:rPr>
      </w:pPr>
    </w:p>
    <w:p w14:paraId="50513D74" w14:textId="77777777" w:rsidR="00E1707B" w:rsidRPr="001D52A0" w:rsidRDefault="00E1707B" w:rsidP="004E4209">
      <w:pPr>
        <w:pStyle w:val="ListParagraph"/>
        <w:numPr>
          <w:ilvl w:val="0"/>
          <w:numId w:val="10"/>
        </w:numPr>
        <w:autoSpaceDE w:val="0"/>
        <w:autoSpaceDN w:val="0"/>
        <w:adjustRightInd w:val="0"/>
        <w:spacing w:after="120" w:line="240" w:lineRule="auto"/>
        <w:contextualSpacing w:val="0"/>
        <w:jc w:val="both"/>
        <w:rPr>
          <w:rFonts w:asciiTheme="minorHAnsi" w:eastAsia="Times New Roman" w:hAnsiTheme="minorHAnsi"/>
          <w:vanish/>
        </w:rPr>
      </w:pPr>
    </w:p>
    <w:p w14:paraId="57AF5E89" w14:textId="18B7F376" w:rsidR="00DF6BE4" w:rsidRPr="001D52A0" w:rsidRDefault="00C14D61" w:rsidP="004E4209">
      <w:pPr>
        <w:numPr>
          <w:ilvl w:val="1"/>
          <w:numId w:val="24"/>
        </w:numPr>
        <w:autoSpaceDE w:val="0"/>
        <w:autoSpaceDN w:val="0"/>
        <w:adjustRightInd w:val="0"/>
        <w:spacing w:after="120"/>
        <w:jc w:val="both"/>
        <w:rPr>
          <w:rFonts w:asciiTheme="minorHAnsi" w:hAnsiTheme="minorHAnsi" w:cs="Arial"/>
          <w:sz w:val="22"/>
          <w:szCs w:val="22"/>
        </w:rPr>
      </w:pPr>
      <w:r w:rsidRPr="001D52A0">
        <w:rPr>
          <w:rFonts w:asciiTheme="minorHAnsi" w:hAnsiTheme="minorHAnsi" w:cs="Arial"/>
          <w:sz w:val="22"/>
          <w:szCs w:val="22"/>
        </w:rPr>
        <w:t>The</w:t>
      </w:r>
      <w:r w:rsidR="007C3708" w:rsidRPr="001D52A0">
        <w:rPr>
          <w:rFonts w:asciiTheme="minorHAnsi" w:hAnsiTheme="minorHAnsi" w:cs="Arial"/>
          <w:sz w:val="22"/>
          <w:szCs w:val="22"/>
        </w:rPr>
        <w:t xml:space="preserve"> new capital </w:t>
      </w:r>
      <w:r w:rsidR="00C558DC" w:rsidRPr="001D52A0">
        <w:rPr>
          <w:rFonts w:asciiTheme="minorHAnsi" w:hAnsiTheme="minorHAnsi" w:cs="Arial"/>
          <w:sz w:val="22"/>
          <w:szCs w:val="22"/>
        </w:rPr>
        <w:t xml:space="preserve">budget requirements for </w:t>
      </w:r>
      <w:r w:rsidR="00C4675C" w:rsidRPr="001D52A0">
        <w:rPr>
          <w:rFonts w:asciiTheme="minorHAnsi" w:hAnsiTheme="minorHAnsi" w:cs="Arial"/>
          <w:sz w:val="22"/>
          <w:szCs w:val="22"/>
        </w:rPr>
        <w:t>2024/25</w:t>
      </w:r>
      <w:r w:rsidR="00DF6BE4" w:rsidRPr="001D52A0">
        <w:rPr>
          <w:rFonts w:asciiTheme="minorHAnsi" w:hAnsiTheme="minorHAnsi" w:cs="Arial"/>
          <w:sz w:val="22"/>
          <w:szCs w:val="22"/>
        </w:rPr>
        <w:t xml:space="preserve"> are listed below:</w:t>
      </w:r>
    </w:p>
    <w:tbl>
      <w:tblPr>
        <w:tblStyle w:val="TableGrid"/>
        <w:tblW w:w="10397" w:type="dxa"/>
        <w:tblLook w:val="04A0" w:firstRow="1" w:lastRow="0" w:firstColumn="1" w:lastColumn="0" w:noHBand="0" w:noVBand="1"/>
      </w:tblPr>
      <w:tblGrid>
        <w:gridCol w:w="4313"/>
        <w:gridCol w:w="1687"/>
        <w:gridCol w:w="4397"/>
      </w:tblGrid>
      <w:tr w:rsidR="00C4675C" w:rsidRPr="001D52A0" w14:paraId="6163EEFF" w14:textId="77777777" w:rsidTr="008B4D91">
        <w:trPr>
          <w:trHeight w:val="525"/>
        </w:trPr>
        <w:tc>
          <w:tcPr>
            <w:tcW w:w="4396" w:type="dxa"/>
            <w:hideMark/>
          </w:tcPr>
          <w:p w14:paraId="3FE711E6" w14:textId="77777777" w:rsidR="00C4675C" w:rsidRPr="001D52A0" w:rsidRDefault="00C4675C" w:rsidP="00A77F46">
            <w:pPr>
              <w:autoSpaceDE w:val="0"/>
              <w:autoSpaceDN w:val="0"/>
              <w:adjustRightInd w:val="0"/>
              <w:ind w:left="465"/>
              <w:rPr>
                <w:rFonts w:asciiTheme="minorHAnsi" w:hAnsiTheme="minorHAnsi" w:cs="Arial"/>
                <w:sz w:val="22"/>
                <w:szCs w:val="22"/>
              </w:rPr>
            </w:pPr>
            <w:r w:rsidRPr="001D52A0">
              <w:rPr>
                <w:rFonts w:asciiTheme="minorHAnsi" w:hAnsiTheme="minorHAnsi" w:cs="Arial"/>
                <w:sz w:val="22"/>
                <w:szCs w:val="22"/>
              </w:rPr>
              <w:t>Social Value and reuse-Solar Panels, Energy security and in year cost reduction</w:t>
            </w:r>
          </w:p>
        </w:tc>
        <w:tc>
          <w:tcPr>
            <w:tcW w:w="1519" w:type="dxa"/>
            <w:noWrap/>
            <w:hideMark/>
          </w:tcPr>
          <w:p w14:paraId="1EA6722F" w14:textId="77777777" w:rsidR="00C4675C" w:rsidRPr="001D52A0" w:rsidRDefault="00C4675C" w:rsidP="00A77F46">
            <w:pPr>
              <w:autoSpaceDE w:val="0"/>
              <w:autoSpaceDN w:val="0"/>
              <w:adjustRightInd w:val="0"/>
              <w:ind w:left="465"/>
              <w:rPr>
                <w:rFonts w:asciiTheme="minorHAnsi" w:hAnsiTheme="minorHAnsi" w:cs="Arial"/>
                <w:sz w:val="22"/>
                <w:szCs w:val="22"/>
              </w:rPr>
            </w:pPr>
            <w:r w:rsidRPr="001D52A0">
              <w:rPr>
                <w:rFonts w:asciiTheme="minorHAnsi" w:hAnsiTheme="minorHAnsi" w:cs="Arial"/>
                <w:sz w:val="22"/>
                <w:szCs w:val="22"/>
              </w:rPr>
              <w:t>£180,000</w:t>
            </w:r>
          </w:p>
        </w:tc>
        <w:tc>
          <w:tcPr>
            <w:tcW w:w="4482" w:type="dxa"/>
            <w:hideMark/>
          </w:tcPr>
          <w:p w14:paraId="72772F71" w14:textId="77777777" w:rsidR="00C4675C" w:rsidRPr="001D52A0" w:rsidRDefault="00C4675C" w:rsidP="00A77F46">
            <w:pPr>
              <w:autoSpaceDE w:val="0"/>
              <w:autoSpaceDN w:val="0"/>
              <w:adjustRightInd w:val="0"/>
              <w:ind w:left="465"/>
              <w:rPr>
                <w:rFonts w:asciiTheme="minorHAnsi" w:hAnsiTheme="minorHAnsi" w:cs="Arial"/>
                <w:sz w:val="22"/>
                <w:szCs w:val="22"/>
              </w:rPr>
            </w:pPr>
          </w:p>
        </w:tc>
      </w:tr>
      <w:tr w:rsidR="00C4675C" w:rsidRPr="001D52A0" w14:paraId="3FA2B757" w14:textId="77777777" w:rsidTr="008B4D91">
        <w:trPr>
          <w:trHeight w:val="262"/>
        </w:trPr>
        <w:tc>
          <w:tcPr>
            <w:tcW w:w="4396" w:type="dxa"/>
            <w:hideMark/>
          </w:tcPr>
          <w:p w14:paraId="51D48AAC" w14:textId="77777777" w:rsidR="00C4675C" w:rsidRPr="001D52A0" w:rsidRDefault="00C4675C" w:rsidP="00A77F46">
            <w:pPr>
              <w:autoSpaceDE w:val="0"/>
              <w:autoSpaceDN w:val="0"/>
              <w:adjustRightInd w:val="0"/>
              <w:ind w:left="465"/>
              <w:rPr>
                <w:rFonts w:asciiTheme="minorHAnsi" w:hAnsiTheme="minorHAnsi" w:cs="Arial"/>
                <w:sz w:val="22"/>
                <w:szCs w:val="22"/>
              </w:rPr>
            </w:pPr>
            <w:r w:rsidRPr="001D52A0">
              <w:rPr>
                <w:rFonts w:asciiTheme="minorHAnsi" w:hAnsiTheme="minorHAnsi" w:cs="Arial"/>
                <w:sz w:val="22"/>
                <w:szCs w:val="22"/>
              </w:rPr>
              <w:t>Social Value Reuse-Containers</w:t>
            </w:r>
          </w:p>
        </w:tc>
        <w:tc>
          <w:tcPr>
            <w:tcW w:w="1519" w:type="dxa"/>
            <w:noWrap/>
            <w:hideMark/>
          </w:tcPr>
          <w:p w14:paraId="61D8C0C0" w14:textId="2509F5B1" w:rsidR="00C4675C" w:rsidRPr="001D52A0" w:rsidRDefault="008B4D91" w:rsidP="00A77F46">
            <w:pPr>
              <w:autoSpaceDE w:val="0"/>
              <w:autoSpaceDN w:val="0"/>
              <w:adjustRightInd w:val="0"/>
              <w:ind w:left="465"/>
              <w:rPr>
                <w:rFonts w:asciiTheme="minorHAnsi" w:hAnsiTheme="minorHAnsi" w:cs="Arial"/>
                <w:sz w:val="22"/>
                <w:szCs w:val="22"/>
              </w:rPr>
            </w:pPr>
            <w:r w:rsidRPr="001D52A0">
              <w:rPr>
                <w:rFonts w:asciiTheme="minorHAnsi" w:hAnsiTheme="minorHAnsi" w:cs="Arial"/>
                <w:sz w:val="22"/>
                <w:szCs w:val="22"/>
              </w:rPr>
              <w:t>£4</w:t>
            </w:r>
            <w:r w:rsidR="00C4675C" w:rsidRPr="001D52A0">
              <w:rPr>
                <w:rFonts w:asciiTheme="minorHAnsi" w:hAnsiTheme="minorHAnsi" w:cs="Arial"/>
                <w:sz w:val="22"/>
                <w:szCs w:val="22"/>
              </w:rPr>
              <w:t>50,000</w:t>
            </w:r>
          </w:p>
        </w:tc>
        <w:tc>
          <w:tcPr>
            <w:tcW w:w="4482" w:type="dxa"/>
            <w:hideMark/>
          </w:tcPr>
          <w:p w14:paraId="53675E8A" w14:textId="77BCBCBA" w:rsidR="00C4675C" w:rsidRPr="001D52A0" w:rsidRDefault="008B4D91" w:rsidP="00A77F46">
            <w:pPr>
              <w:autoSpaceDE w:val="0"/>
              <w:autoSpaceDN w:val="0"/>
              <w:adjustRightInd w:val="0"/>
              <w:ind w:left="465"/>
              <w:rPr>
                <w:rFonts w:asciiTheme="minorHAnsi" w:hAnsiTheme="minorHAnsi" w:cs="Arial"/>
                <w:sz w:val="22"/>
                <w:szCs w:val="22"/>
              </w:rPr>
            </w:pPr>
            <w:r w:rsidRPr="001D52A0">
              <w:rPr>
                <w:rFonts w:asciiTheme="minorHAnsi" w:hAnsiTheme="minorHAnsi" w:cs="Arial"/>
                <w:sz w:val="22"/>
                <w:szCs w:val="22"/>
              </w:rPr>
              <w:t>Acton Hub</w:t>
            </w:r>
          </w:p>
        </w:tc>
      </w:tr>
      <w:tr w:rsidR="00C4675C" w:rsidRPr="001D52A0" w14:paraId="584CAF1B" w14:textId="77777777" w:rsidTr="008B4D91">
        <w:trPr>
          <w:trHeight w:val="525"/>
        </w:trPr>
        <w:tc>
          <w:tcPr>
            <w:tcW w:w="4396" w:type="dxa"/>
            <w:hideMark/>
          </w:tcPr>
          <w:p w14:paraId="60604AF6" w14:textId="7ECBB83F" w:rsidR="00C4675C" w:rsidRPr="001D52A0" w:rsidRDefault="008B4D91" w:rsidP="00A77F46">
            <w:pPr>
              <w:autoSpaceDE w:val="0"/>
              <w:autoSpaceDN w:val="0"/>
              <w:adjustRightInd w:val="0"/>
              <w:ind w:left="465"/>
              <w:rPr>
                <w:rFonts w:asciiTheme="minorHAnsi" w:hAnsiTheme="minorHAnsi" w:cs="Arial"/>
                <w:sz w:val="22"/>
                <w:szCs w:val="22"/>
              </w:rPr>
            </w:pPr>
            <w:r w:rsidRPr="001D52A0">
              <w:rPr>
                <w:rFonts w:asciiTheme="minorHAnsi" w:hAnsiTheme="minorHAnsi" w:cs="Arial"/>
                <w:sz w:val="22"/>
                <w:szCs w:val="22"/>
              </w:rPr>
              <w:lastRenderedPageBreak/>
              <w:t>Containers</w:t>
            </w:r>
          </w:p>
        </w:tc>
        <w:tc>
          <w:tcPr>
            <w:tcW w:w="1519" w:type="dxa"/>
            <w:noWrap/>
            <w:hideMark/>
          </w:tcPr>
          <w:p w14:paraId="6928AEB5" w14:textId="4453C811" w:rsidR="00C4675C" w:rsidRPr="001D52A0" w:rsidRDefault="008B4D91" w:rsidP="00A77F46">
            <w:pPr>
              <w:autoSpaceDE w:val="0"/>
              <w:autoSpaceDN w:val="0"/>
              <w:adjustRightInd w:val="0"/>
              <w:ind w:left="465"/>
              <w:rPr>
                <w:rFonts w:asciiTheme="minorHAnsi" w:hAnsiTheme="minorHAnsi" w:cs="Arial"/>
                <w:sz w:val="22"/>
                <w:szCs w:val="22"/>
              </w:rPr>
            </w:pPr>
            <w:r w:rsidRPr="001D52A0">
              <w:rPr>
                <w:rFonts w:asciiTheme="minorHAnsi" w:hAnsiTheme="minorHAnsi" w:cs="Arial"/>
                <w:sz w:val="22"/>
                <w:szCs w:val="22"/>
              </w:rPr>
              <w:t>£150,000</w:t>
            </w:r>
          </w:p>
        </w:tc>
        <w:tc>
          <w:tcPr>
            <w:tcW w:w="4482" w:type="dxa"/>
            <w:hideMark/>
          </w:tcPr>
          <w:p w14:paraId="58C352CF" w14:textId="3017AF5A" w:rsidR="00C4675C" w:rsidRPr="001D52A0" w:rsidRDefault="008B4D91" w:rsidP="00A77F46">
            <w:pPr>
              <w:autoSpaceDE w:val="0"/>
              <w:autoSpaceDN w:val="0"/>
              <w:adjustRightInd w:val="0"/>
              <w:ind w:left="465"/>
              <w:rPr>
                <w:rFonts w:asciiTheme="minorHAnsi" w:hAnsiTheme="minorHAnsi" w:cs="Arial"/>
                <w:sz w:val="22"/>
                <w:szCs w:val="22"/>
              </w:rPr>
            </w:pPr>
            <w:r w:rsidRPr="001D52A0">
              <w:rPr>
                <w:rFonts w:asciiTheme="minorHAnsi" w:hAnsiTheme="minorHAnsi" w:cs="Arial"/>
                <w:sz w:val="22"/>
                <w:szCs w:val="22"/>
              </w:rPr>
              <w:t>Repair and reuse space for SMEs to deliver Circular economy workshops etc.</w:t>
            </w:r>
          </w:p>
        </w:tc>
      </w:tr>
      <w:tr w:rsidR="008B4D91" w:rsidRPr="001D52A0" w14:paraId="3E117AD3" w14:textId="77777777" w:rsidTr="008B4D91">
        <w:trPr>
          <w:trHeight w:val="788"/>
        </w:trPr>
        <w:tc>
          <w:tcPr>
            <w:tcW w:w="4396" w:type="dxa"/>
            <w:hideMark/>
          </w:tcPr>
          <w:p w14:paraId="10E68BD5" w14:textId="61068F2A" w:rsidR="008B4D91" w:rsidRPr="001D52A0" w:rsidRDefault="008B4D91" w:rsidP="008B4D91">
            <w:pPr>
              <w:autoSpaceDE w:val="0"/>
              <w:autoSpaceDN w:val="0"/>
              <w:adjustRightInd w:val="0"/>
              <w:ind w:left="465"/>
              <w:rPr>
                <w:rFonts w:asciiTheme="minorHAnsi" w:hAnsiTheme="minorHAnsi" w:cs="Arial"/>
                <w:sz w:val="22"/>
                <w:szCs w:val="22"/>
              </w:rPr>
            </w:pPr>
            <w:r w:rsidRPr="001D52A0">
              <w:rPr>
                <w:rFonts w:asciiTheme="minorHAnsi" w:hAnsiTheme="minorHAnsi" w:cs="Arial"/>
                <w:sz w:val="22"/>
                <w:szCs w:val="22"/>
              </w:rPr>
              <w:t>IT strategy</w:t>
            </w:r>
          </w:p>
        </w:tc>
        <w:tc>
          <w:tcPr>
            <w:tcW w:w="1519" w:type="dxa"/>
            <w:noWrap/>
            <w:hideMark/>
          </w:tcPr>
          <w:p w14:paraId="778F28DE" w14:textId="7F8FA500" w:rsidR="008B4D91" w:rsidRPr="001D52A0" w:rsidRDefault="008B4D91" w:rsidP="008B4D91">
            <w:pPr>
              <w:autoSpaceDE w:val="0"/>
              <w:autoSpaceDN w:val="0"/>
              <w:adjustRightInd w:val="0"/>
              <w:ind w:left="465"/>
              <w:rPr>
                <w:rFonts w:asciiTheme="minorHAnsi" w:hAnsiTheme="minorHAnsi" w:cs="Arial"/>
                <w:sz w:val="22"/>
                <w:szCs w:val="22"/>
              </w:rPr>
            </w:pPr>
            <w:r w:rsidRPr="001D52A0">
              <w:rPr>
                <w:rFonts w:asciiTheme="minorHAnsi" w:hAnsiTheme="minorHAnsi" w:cs="Arial"/>
                <w:sz w:val="22"/>
                <w:szCs w:val="22"/>
              </w:rPr>
              <w:t>£400,000</w:t>
            </w:r>
          </w:p>
        </w:tc>
        <w:tc>
          <w:tcPr>
            <w:tcW w:w="4482" w:type="dxa"/>
            <w:hideMark/>
          </w:tcPr>
          <w:p w14:paraId="4A1FB938" w14:textId="2BAC521F" w:rsidR="008B4D91" w:rsidRPr="001D52A0" w:rsidRDefault="008B4D91" w:rsidP="008B4D91">
            <w:pPr>
              <w:autoSpaceDE w:val="0"/>
              <w:autoSpaceDN w:val="0"/>
              <w:adjustRightInd w:val="0"/>
              <w:ind w:left="465"/>
              <w:rPr>
                <w:rFonts w:asciiTheme="minorHAnsi" w:hAnsiTheme="minorHAnsi" w:cs="Arial"/>
                <w:sz w:val="22"/>
                <w:szCs w:val="22"/>
              </w:rPr>
            </w:pPr>
            <w:r w:rsidRPr="001D52A0">
              <w:rPr>
                <w:rFonts w:asciiTheme="minorHAnsi" w:hAnsiTheme="minorHAnsi" w:cs="Arial"/>
                <w:sz w:val="22"/>
                <w:szCs w:val="22"/>
              </w:rPr>
              <w:t>Future proofing the IT of the Authority and making more dynamic in line with our new way of working.  Having a single platform fit for purpose.</w:t>
            </w:r>
          </w:p>
        </w:tc>
      </w:tr>
      <w:tr w:rsidR="00C4675C" w:rsidRPr="001D52A0" w14:paraId="5B6110B5" w14:textId="77777777" w:rsidTr="008B4D91">
        <w:trPr>
          <w:trHeight w:val="262"/>
        </w:trPr>
        <w:tc>
          <w:tcPr>
            <w:tcW w:w="4396" w:type="dxa"/>
            <w:hideMark/>
          </w:tcPr>
          <w:p w14:paraId="3FA1D68E" w14:textId="77777777" w:rsidR="00C4675C" w:rsidRPr="001D52A0" w:rsidRDefault="00C4675C" w:rsidP="00A77F46">
            <w:pPr>
              <w:autoSpaceDE w:val="0"/>
              <w:autoSpaceDN w:val="0"/>
              <w:adjustRightInd w:val="0"/>
              <w:ind w:left="465"/>
              <w:rPr>
                <w:rFonts w:asciiTheme="minorHAnsi" w:hAnsiTheme="minorHAnsi" w:cs="Arial"/>
                <w:sz w:val="22"/>
                <w:szCs w:val="22"/>
              </w:rPr>
            </w:pPr>
            <w:r w:rsidRPr="001D52A0">
              <w:rPr>
                <w:rFonts w:asciiTheme="minorHAnsi" w:hAnsiTheme="minorHAnsi" w:cs="Arial"/>
                <w:sz w:val="22"/>
                <w:szCs w:val="22"/>
              </w:rPr>
              <w:t>Bin wash</w:t>
            </w:r>
          </w:p>
        </w:tc>
        <w:tc>
          <w:tcPr>
            <w:tcW w:w="1519" w:type="dxa"/>
            <w:noWrap/>
            <w:hideMark/>
          </w:tcPr>
          <w:p w14:paraId="3EB0E0A0" w14:textId="77777777" w:rsidR="00C4675C" w:rsidRPr="001D52A0" w:rsidRDefault="00C4675C" w:rsidP="00A77F46">
            <w:pPr>
              <w:autoSpaceDE w:val="0"/>
              <w:autoSpaceDN w:val="0"/>
              <w:adjustRightInd w:val="0"/>
              <w:ind w:left="465"/>
              <w:rPr>
                <w:rFonts w:asciiTheme="minorHAnsi" w:hAnsiTheme="minorHAnsi" w:cs="Arial"/>
                <w:sz w:val="22"/>
                <w:szCs w:val="22"/>
              </w:rPr>
            </w:pPr>
            <w:r w:rsidRPr="001D52A0">
              <w:rPr>
                <w:rFonts w:asciiTheme="minorHAnsi" w:hAnsiTheme="minorHAnsi" w:cs="Arial"/>
                <w:sz w:val="22"/>
                <w:szCs w:val="22"/>
              </w:rPr>
              <w:t>£70,000</w:t>
            </w:r>
          </w:p>
        </w:tc>
        <w:tc>
          <w:tcPr>
            <w:tcW w:w="4482" w:type="dxa"/>
            <w:hideMark/>
          </w:tcPr>
          <w:p w14:paraId="22A62834" w14:textId="77777777" w:rsidR="00C4675C" w:rsidRPr="001D52A0" w:rsidRDefault="00C4675C" w:rsidP="00A77F46">
            <w:pPr>
              <w:autoSpaceDE w:val="0"/>
              <w:autoSpaceDN w:val="0"/>
              <w:adjustRightInd w:val="0"/>
              <w:ind w:left="465"/>
              <w:rPr>
                <w:rFonts w:asciiTheme="minorHAnsi" w:hAnsiTheme="minorHAnsi" w:cs="Arial"/>
                <w:sz w:val="22"/>
                <w:szCs w:val="22"/>
              </w:rPr>
            </w:pPr>
          </w:p>
        </w:tc>
      </w:tr>
      <w:tr w:rsidR="00C4675C" w:rsidRPr="001D52A0" w14:paraId="218E6C5D" w14:textId="77777777" w:rsidTr="008B4D91">
        <w:trPr>
          <w:trHeight w:val="275"/>
        </w:trPr>
        <w:tc>
          <w:tcPr>
            <w:tcW w:w="4396" w:type="dxa"/>
            <w:hideMark/>
          </w:tcPr>
          <w:p w14:paraId="35CAC3F9" w14:textId="77777777" w:rsidR="00C4675C" w:rsidRPr="001D52A0" w:rsidRDefault="00C4675C" w:rsidP="00A77F46">
            <w:pPr>
              <w:autoSpaceDE w:val="0"/>
              <w:autoSpaceDN w:val="0"/>
              <w:adjustRightInd w:val="0"/>
              <w:ind w:left="465"/>
              <w:rPr>
                <w:rFonts w:asciiTheme="minorHAnsi" w:hAnsiTheme="minorHAnsi" w:cs="Arial"/>
                <w:sz w:val="22"/>
                <w:szCs w:val="22"/>
              </w:rPr>
            </w:pPr>
          </w:p>
        </w:tc>
        <w:tc>
          <w:tcPr>
            <w:tcW w:w="1519" w:type="dxa"/>
            <w:noWrap/>
            <w:hideMark/>
          </w:tcPr>
          <w:p w14:paraId="3ECD0797" w14:textId="371A4185" w:rsidR="00C4675C" w:rsidRPr="001D52A0" w:rsidRDefault="00C4675C" w:rsidP="00FB5DCC">
            <w:pPr>
              <w:autoSpaceDE w:val="0"/>
              <w:autoSpaceDN w:val="0"/>
              <w:adjustRightInd w:val="0"/>
              <w:ind w:left="465"/>
              <w:rPr>
                <w:rFonts w:asciiTheme="minorHAnsi" w:hAnsiTheme="minorHAnsi" w:cs="Arial"/>
                <w:b/>
                <w:bCs/>
                <w:sz w:val="22"/>
                <w:szCs w:val="22"/>
              </w:rPr>
            </w:pPr>
            <w:r w:rsidRPr="001D52A0">
              <w:rPr>
                <w:rFonts w:asciiTheme="minorHAnsi" w:hAnsiTheme="minorHAnsi" w:cs="Arial"/>
                <w:b/>
                <w:bCs/>
                <w:sz w:val="22"/>
                <w:szCs w:val="22"/>
              </w:rPr>
              <w:t>£</w:t>
            </w:r>
            <w:r w:rsidR="00FB5DCC" w:rsidRPr="001D52A0">
              <w:rPr>
                <w:rFonts w:asciiTheme="minorHAnsi" w:hAnsiTheme="minorHAnsi" w:cs="Arial"/>
                <w:b/>
                <w:bCs/>
                <w:sz w:val="22"/>
                <w:szCs w:val="22"/>
              </w:rPr>
              <w:t>1,250,000</w:t>
            </w:r>
          </w:p>
        </w:tc>
        <w:tc>
          <w:tcPr>
            <w:tcW w:w="4482" w:type="dxa"/>
            <w:hideMark/>
          </w:tcPr>
          <w:p w14:paraId="5AA9076B" w14:textId="77777777" w:rsidR="00C4675C" w:rsidRPr="001D52A0" w:rsidRDefault="00C4675C" w:rsidP="00A77F46">
            <w:pPr>
              <w:autoSpaceDE w:val="0"/>
              <w:autoSpaceDN w:val="0"/>
              <w:adjustRightInd w:val="0"/>
              <w:ind w:left="465"/>
              <w:rPr>
                <w:rFonts w:asciiTheme="minorHAnsi" w:hAnsiTheme="minorHAnsi" w:cs="Arial"/>
                <w:b/>
                <w:bCs/>
                <w:sz w:val="22"/>
                <w:szCs w:val="22"/>
              </w:rPr>
            </w:pPr>
          </w:p>
        </w:tc>
      </w:tr>
    </w:tbl>
    <w:p w14:paraId="6403A572" w14:textId="77777777" w:rsidR="00C4675C" w:rsidRPr="001D52A0" w:rsidRDefault="00C4675C" w:rsidP="00C4675C">
      <w:pPr>
        <w:autoSpaceDE w:val="0"/>
        <w:autoSpaceDN w:val="0"/>
        <w:adjustRightInd w:val="0"/>
        <w:spacing w:after="120"/>
        <w:ind w:left="465"/>
        <w:jc w:val="both"/>
        <w:rPr>
          <w:rFonts w:asciiTheme="minorHAnsi" w:hAnsiTheme="minorHAnsi" w:cs="Arial"/>
          <w:sz w:val="22"/>
          <w:szCs w:val="22"/>
        </w:rPr>
      </w:pPr>
    </w:p>
    <w:p w14:paraId="526AB576" w14:textId="105659C6" w:rsidR="00263769" w:rsidRPr="001D52A0" w:rsidRDefault="00EE61D5" w:rsidP="004E4209">
      <w:pPr>
        <w:numPr>
          <w:ilvl w:val="1"/>
          <w:numId w:val="24"/>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 xml:space="preserve">It is worth noting the following </w:t>
      </w:r>
      <w:r w:rsidR="007C3708" w:rsidRPr="001D52A0">
        <w:rPr>
          <w:rFonts w:asciiTheme="minorHAnsi" w:hAnsiTheme="minorHAnsi" w:cs="Arial"/>
          <w:sz w:val="22"/>
          <w:szCs w:val="22"/>
        </w:rPr>
        <w:t xml:space="preserve">existing </w:t>
      </w:r>
      <w:r w:rsidRPr="001D52A0">
        <w:rPr>
          <w:rFonts w:asciiTheme="minorHAnsi" w:hAnsiTheme="minorHAnsi" w:cs="Arial"/>
          <w:sz w:val="22"/>
          <w:szCs w:val="22"/>
        </w:rPr>
        <w:t xml:space="preserve">capital </w:t>
      </w:r>
      <w:r w:rsidR="00C558DC" w:rsidRPr="001D52A0">
        <w:rPr>
          <w:rFonts w:asciiTheme="minorHAnsi" w:hAnsiTheme="minorHAnsi" w:cs="Arial"/>
          <w:sz w:val="22"/>
          <w:szCs w:val="22"/>
        </w:rPr>
        <w:t>budget</w:t>
      </w:r>
      <w:r w:rsidR="004A186D" w:rsidRPr="001D52A0">
        <w:rPr>
          <w:rFonts w:asciiTheme="minorHAnsi" w:hAnsiTheme="minorHAnsi" w:cs="Arial"/>
          <w:sz w:val="22"/>
          <w:szCs w:val="22"/>
        </w:rPr>
        <w:t>s</w:t>
      </w:r>
      <w:r w:rsidRPr="001D52A0">
        <w:rPr>
          <w:rFonts w:asciiTheme="minorHAnsi" w:hAnsiTheme="minorHAnsi" w:cs="Arial"/>
          <w:sz w:val="22"/>
          <w:szCs w:val="22"/>
        </w:rPr>
        <w:t xml:space="preserve">. These are balances </w:t>
      </w:r>
      <w:r w:rsidR="007C3708" w:rsidRPr="001D52A0">
        <w:rPr>
          <w:rFonts w:asciiTheme="minorHAnsi" w:hAnsiTheme="minorHAnsi" w:cs="Arial"/>
          <w:sz w:val="22"/>
          <w:szCs w:val="22"/>
        </w:rPr>
        <w:t xml:space="preserve">remaining on budgets for </w:t>
      </w:r>
      <w:r w:rsidRPr="001D52A0">
        <w:rPr>
          <w:rFonts w:asciiTheme="minorHAnsi" w:hAnsiTheme="minorHAnsi" w:cs="Arial"/>
          <w:sz w:val="22"/>
          <w:szCs w:val="22"/>
        </w:rPr>
        <w:t>capital works still in progress</w:t>
      </w:r>
      <w:r w:rsidR="0064592E" w:rsidRPr="001D52A0">
        <w:rPr>
          <w:rFonts w:asciiTheme="minorHAnsi" w:hAnsiTheme="minorHAnsi" w:cs="Arial"/>
          <w:sz w:val="22"/>
          <w:szCs w:val="22"/>
        </w:rPr>
        <w:t xml:space="preserve">/to be </w:t>
      </w:r>
      <w:r w:rsidR="00DF6BE4" w:rsidRPr="001D52A0">
        <w:rPr>
          <w:rFonts w:asciiTheme="minorHAnsi" w:hAnsiTheme="minorHAnsi" w:cs="Arial"/>
          <w:sz w:val="22"/>
          <w:szCs w:val="22"/>
        </w:rPr>
        <w:t>commenced</w:t>
      </w:r>
      <w:r w:rsidR="00972B45" w:rsidRPr="001D52A0">
        <w:rPr>
          <w:rFonts w:asciiTheme="minorHAnsi" w:hAnsiTheme="minorHAnsi" w:cs="Arial"/>
          <w:sz w:val="22"/>
          <w:szCs w:val="22"/>
        </w:rPr>
        <w:t xml:space="preserve">, </w:t>
      </w:r>
      <w:r w:rsidRPr="001D52A0">
        <w:rPr>
          <w:rFonts w:asciiTheme="minorHAnsi" w:hAnsiTheme="minorHAnsi" w:cs="Arial"/>
          <w:sz w:val="22"/>
          <w:szCs w:val="22"/>
        </w:rPr>
        <w:t>which were previously approved by the Authority and will be rolled forward until completion</w:t>
      </w:r>
      <w:r w:rsidR="007A08FB" w:rsidRPr="001D52A0">
        <w:rPr>
          <w:rFonts w:asciiTheme="minorHAnsi" w:hAnsiTheme="minorHAnsi" w:cs="Arial"/>
          <w:sz w:val="22"/>
          <w:szCs w:val="22"/>
        </w:rPr>
        <w:t xml:space="preserve"> or </w:t>
      </w:r>
      <w:r w:rsidR="00DF6BE4" w:rsidRPr="001D52A0">
        <w:rPr>
          <w:rFonts w:asciiTheme="minorHAnsi" w:hAnsiTheme="minorHAnsi" w:cs="Arial"/>
          <w:sz w:val="22"/>
          <w:szCs w:val="22"/>
        </w:rPr>
        <w:t xml:space="preserve">eliminated if </w:t>
      </w:r>
      <w:r w:rsidR="007A08FB" w:rsidRPr="001D52A0">
        <w:rPr>
          <w:rFonts w:asciiTheme="minorHAnsi" w:hAnsiTheme="minorHAnsi" w:cs="Arial"/>
          <w:sz w:val="22"/>
          <w:szCs w:val="22"/>
        </w:rPr>
        <w:t>not required</w:t>
      </w:r>
      <w:r w:rsidRPr="001D52A0">
        <w:rPr>
          <w:rFonts w:asciiTheme="minorHAnsi" w:hAnsiTheme="minorHAnsi" w:cs="Arial"/>
          <w:sz w:val="22"/>
          <w:szCs w:val="22"/>
        </w:rPr>
        <w:t>.</w:t>
      </w:r>
      <w:r w:rsidR="00E938B7" w:rsidRPr="001D52A0">
        <w:rPr>
          <w:rFonts w:asciiTheme="minorHAnsi" w:hAnsiTheme="minorHAnsi" w:cs="Arial"/>
          <w:sz w:val="22"/>
          <w:szCs w:val="22"/>
        </w:rPr>
        <w:t xml:space="preserve"> </w:t>
      </w:r>
    </w:p>
    <w:tbl>
      <w:tblPr>
        <w:tblStyle w:val="TableGrid"/>
        <w:tblW w:w="0" w:type="auto"/>
        <w:tblLook w:val="04A0" w:firstRow="1" w:lastRow="0" w:firstColumn="1" w:lastColumn="0" w:noHBand="0" w:noVBand="1"/>
      </w:tblPr>
      <w:tblGrid>
        <w:gridCol w:w="3478"/>
        <w:gridCol w:w="1687"/>
        <w:gridCol w:w="976"/>
        <w:gridCol w:w="4053"/>
      </w:tblGrid>
      <w:tr w:rsidR="008B4D91" w:rsidRPr="001D52A0" w14:paraId="1A8916CA" w14:textId="77777777" w:rsidTr="004E0D8F">
        <w:trPr>
          <w:trHeight w:val="900"/>
        </w:trPr>
        <w:tc>
          <w:tcPr>
            <w:tcW w:w="3478" w:type="dxa"/>
            <w:hideMark/>
          </w:tcPr>
          <w:p w14:paraId="46A144A9" w14:textId="77777777" w:rsidR="008B4D91" w:rsidRPr="001D52A0" w:rsidRDefault="008B4D91" w:rsidP="008B4D91">
            <w:pPr>
              <w:autoSpaceDE w:val="0"/>
              <w:autoSpaceDN w:val="0"/>
              <w:adjustRightInd w:val="0"/>
              <w:ind w:left="465"/>
              <w:rPr>
                <w:rFonts w:asciiTheme="minorHAnsi" w:hAnsiTheme="minorHAnsi" w:cs="Arial"/>
                <w:sz w:val="22"/>
                <w:szCs w:val="22"/>
              </w:rPr>
            </w:pPr>
            <w:r w:rsidRPr="001D52A0">
              <w:rPr>
                <w:rFonts w:asciiTheme="minorHAnsi" w:hAnsiTheme="minorHAnsi" w:cs="Arial"/>
                <w:sz w:val="22"/>
                <w:szCs w:val="22"/>
              </w:rPr>
              <w:t xml:space="preserve">Victoria Road bulking facilities </w:t>
            </w:r>
          </w:p>
        </w:tc>
        <w:tc>
          <w:tcPr>
            <w:tcW w:w="1687" w:type="dxa"/>
            <w:noWrap/>
            <w:hideMark/>
          </w:tcPr>
          <w:p w14:paraId="33D3D15A" w14:textId="77777777" w:rsidR="008B4D91" w:rsidRPr="001D52A0" w:rsidRDefault="008B4D91" w:rsidP="008B4D91">
            <w:pPr>
              <w:autoSpaceDE w:val="0"/>
              <w:autoSpaceDN w:val="0"/>
              <w:adjustRightInd w:val="0"/>
              <w:ind w:left="465"/>
              <w:rPr>
                <w:rFonts w:asciiTheme="minorHAnsi" w:hAnsiTheme="minorHAnsi" w:cs="Arial"/>
                <w:sz w:val="22"/>
                <w:szCs w:val="22"/>
              </w:rPr>
            </w:pPr>
            <w:r w:rsidRPr="001D52A0">
              <w:rPr>
                <w:rFonts w:asciiTheme="minorHAnsi" w:hAnsiTheme="minorHAnsi" w:cs="Arial"/>
                <w:sz w:val="22"/>
                <w:szCs w:val="22"/>
              </w:rPr>
              <w:t>£1,800,000</w:t>
            </w:r>
          </w:p>
        </w:tc>
        <w:tc>
          <w:tcPr>
            <w:tcW w:w="976" w:type="dxa"/>
            <w:noWrap/>
            <w:hideMark/>
          </w:tcPr>
          <w:p w14:paraId="601327E2" w14:textId="77777777" w:rsidR="008B4D91" w:rsidRPr="001D52A0" w:rsidRDefault="008B4D91" w:rsidP="008B4D91">
            <w:pPr>
              <w:autoSpaceDE w:val="0"/>
              <w:autoSpaceDN w:val="0"/>
              <w:adjustRightInd w:val="0"/>
              <w:ind w:left="465"/>
              <w:rPr>
                <w:rFonts w:asciiTheme="minorHAnsi" w:hAnsiTheme="minorHAnsi" w:cs="Arial"/>
                <w:sz w:val="22"/>
                <w:szCs w:val="22"/>
              </w:rPr>
            </w:pPr>
          </w:p>
        </w:tc>
        <w:tc>
          <w:tcPr>
            <w:tcW w:w="4053" w:type="dxa"/>
            <w:hideMark/>
          </w:tcPr>
          <w:p w14:paraId="59EE0029" w14:textId="1EF6FCB6" w:rsidR="008B4D91" w:rsidRPr="001D52A0" w:rsidRDefault="00752202" w:rsidP="008B4D91">
            <w:pPr>
              <w:autoSpaceDE w:val="0"/>
              <w:autoSpaceDN w:val="0"/>
              <w:adjustRightInd w:val="0"/>
              <w:ind w:left="465"/>
              <w:jc w:val="both"/>
              <w:rPr>
                <w:rFonts w:asciiTheme="minorHAnsi" w:hAnsiTheme="minorHAnsi" w:cs="Arial"/>
                <w:sz w:val="22"/>
                <w:szCs w:val="22"/>
              </w:rPr>
            </w:pPr>
            <w:r w:rsidRPr="001D52A0">
              <w:rPr>
                <w:rFonts w:asciiTheme="minorHAnsi" w:hAnsiTheme="minorHAnsi" w:cs="Arial"/>
                <w:sz w:val="22"/>
                <w:szCs w:val="22"/>
              </w:rPr>
              <w:t>Representing</w:t>
            </w:r>
            <w:r w:rsidR="008B4D91" w:rsidRPr="001D52A0">
              <w:rPr>
                <w:rFonts w:asciiTheme="minorHAnsi" w:hAnsiTheme="minorHAnsi" w:cs="Arial"/>
                <w:sz w:val="22"/>
                <w:szCs w:val="22"/>
              </w:rPr>
              <w:t xml:space="preserve"> the capital budget to complete work to increase bulking and sorting capacity to enhance and localise material value and reduce whole system bulking costs.</w:t>
            </w:r>
          </w:p>
        </w:tc>
      </w:tr>
      <w:tr w:rsidR="008B4D91" w:rsidRPr="001D52A0" w14:paraId="3143BE05" w14:textId="77777777" w:rsidTr="004E0D8F">
        <w:trPr>
          <w:trHeight w:val="630"/>
        </w:trPr>
        <w:tc>
          <w:tcPr>
            <w:tcW w:w="3478" w:type="dxa"/>
            <w:hideMark/>
          </w:tcPr>
          <w:p w14:paraId="183BFA75" w14:textId="77777777" w:rsidR="008B4D91" w:rsidRPr="001D52A0" w:rsidRDefault="008B4D91" w:rsidP="008B4D91">
            <w:pPr>
              <w:autoSpaceDE w:val="0"/>
              <w:autoSpaceDN w:val="0"/>
              <w:adjustRightInd w:val="0"/>
              <w:ind w:left="465"/>
              <w:rPr>
                <w:rFonts w:asciiTheme="minorHAnsi" w:hAnsiTheme="minorHAnsi" w:cs="Arial"/>
                <w:sz w:val="22"/>
                <w:szCs w:val="22"/>
              </w:rPr>
            </w:pPr>
            <w:r w:rsidRPr="001D52A0">
              <w:rPr>
                <w:rFonts w:asciiTheme="minorHAnsi" w:hAnsiTheme="minorHAnsi" w:cs="Arial"/>
                <w:sz w:val="22"/>
                <w:szCs w:val="22"/>
              </w:rPr>
              <w:t xml:space="preserve">West Drayton heating system improvements and window replacement </w:t>
            </w:r>
          </w:p>
        </w:tc>
        <w:tc>
          <w:tcPr>
            <w:tcW w:w="1687" w:type="dxa"/>
            <w:noWrap/>
            <w:hideMark/>
          </w:tcPr>
          <w:p w14:paraId="50042163" w14:textId="77777777" w:rsidR="008B4D91" w:rsidRPr="001D52A0" w:rsidRDefault="008B4D91" w:rsidP="008B4D91">
            <w:pPr>
              <w:autoSpaceDE w:val="0"/>
              <w:autoSpaceDN w:val="0"/>
              <w:adjustRightInd w:val="0"/>
              <w:ind w:left="465"/>
              <w:rPr>
                <w:rFonts w:asciiTheme="minorHAnsi" w:hAnsiTheme="minorHAnsi" w:cs="Arial"/>
                <w:sz w:val="22"/>
                <w:szCs w:val="22"/>
              </w:rPr>
            </w:pPr>
            <w:r w:rsidRPr="001D52A0">
              <w:rPr>
                <w:rFonts w:asciiTheme="minorHAnsi" w:hAnsiTheme="minorHAnsi" w:cs="Arial"/>
                <w:sz w:val="22"/>
                <w:szCs w:val="22"/>
              </w:rPr>
              <w:t>£150,000</w:t>
            </w:r>
          </w:p>
        </w:tc>
        <w:tc>
          <w:tcPr>
            <w:tcW w:w="976" w:type="dxa"/>
            <w:noWrap/>
            <w:hideMark/>
          </w:tcPr>
          <w:p w14:paraId="4981A65C" w14:textId="77777777" w:rsidR="008B4D91" w:rsidRPr="001D52A0" w:rsidRDefault="008B4D91" w:rsidP="008B4D91">
            <w:pPr>
              <w:autoSpaceDE w:val="0"/>
              <w:autoSpaceDN w:val="0"/>
              <w:adjustRightInd w:val="0"/>
              <w:ind w:left="465"/>
              <w:rPr>
                <w:rFonts w:asciiTheme="minorHAnsi" w:hAnsiTheme="minorHAnsi" w:cs="Arial"/>
                <w:sz w:val="22"/>
                <w:szCs w:val="22"/>
              </w:rPr>
            </w:pPr>
          </w:p>
        </w:tc>
        <w:tc>
          <w:tcPr>
            <w:tcW w:w="4053" w:type="dxa"/>
            <w:hideMark/>
          </w:tcPr>
          <w:p w14:paraId="0DD7F7A2" w14:textId="4C59A0A4" w:rsidR="008B4D91" w:rsidRPr="001D52A0" w:rsidRDefault="00752202" w:rsidP="008B4D91">
            <w:pPr>
              <w:autoSpaceDE w:val="0"/>
              <w:autoSpaceDN w:val="0"/>
              <w:adjustRightInd w:val="0"/>
              <w:ind w:left="465"/>
              <w:jc w:val="both"/>
              <w:rPr>
                <w:rFonts w:asciiTheme="minorHAnsi" w:hAnsiTheme="minorHAnsi" w:cs="Arial"/>
                <w:sz w:val="22"/>
                <w:szCs w:val="22"/>
              </w:rPr>
            </w:pPr>
            <w:r w:rsidRPr="001D52A0">
              <w:rPr>
                <w:rFonts w:asciiTheme="minorHAnsi" w:hAnsiTheme="minorHAnsi" w:cs="Arial"/>
                <w:sz w:val="22"/>
                <w:szCs w:val="22"/>
              </w:rPr>
              <w:t>I</w:t>
            </w:r>
            <w:r w:rsidR="008B4D91" w:rsidRPr="001D52A0">
              <w:rPr>
                <w:rFonts w:asciiTheme="minorHAnsi" w:hAnsiTheme="minorHAnsi" w:cs="Arial"/>
                <w:sz w:val="22"/>
                <w:szCs w:val="22"/>
              </w:rPr>
              <w:t>mprove energy efficiency</w:t>
            </w:r>
          </w:p>
        </w:tc>
      </w:tr>
      <w:tr w:rsidR="008B4D91" w:rsidRPr="001D52A0" w14:paraId="13A2D4EC" w14:textId="77777777" w:rsidTr="004E0D8F">
        <w:trPr>
          <w:trHeight w:val="600"/>
        </w:trPr>
        <w:tc>
          <w:tcPr>
            <w:tcW w:w="3478" w:type="dxa"/>
            <w:hideMark/>
          </w:tcPr>
          <w:p w14:paraId="0EDD9A30" w14:textId="77777777" w:rsidR="008B4D91" w:rsidRPr="001D52A0" w:rsidRDefault="008B4D91" w:rsidP="008B4D91">
            <w:pPr>
              <w:autoSpaceDE w:val="0"/>
              <w:autoSpaceDN w:val="0"/>
              <w:adjustRightInd w:val="0"/>
              <w:ind w:left="465"/>
              <w:rPr>
                <w:rFonts w:asciiTheme="minorHAnsi" w:hAnsiTheme="minorHAnsi" w:cs="Arial"/>
                <w:sz w:val="22"/>
                <w:szCs w:val="22"/>
              </w:rPr>
            </w:pPr>
            <w:r w:rsidRPr="001D52A0">
              <w:rPr>
                <w:rFonts w:asciiTheme="minorHAnsi" w:hAnsiTheme="minorHAnsi" w:cs="Arial"/>
                <w:sz w:val="22"/>
                <w:szCs w:val="22"/>
              </w:rPr>
              <w:t xml:space="preserve">Abbey Road improvements </w:t>
            </w:r>
          </w:p>
        </w:tc>
        <w:tc>
          <w:tcPr>
            <w:tcW w:w="1687" w:type="dxa"/>
            <w:noWrap/>
            <w:hideMark/>
          </w:tcPr>
          <w:p w14:paraId="6670EB24" w14:textId="0449849F" w:rsidR="008B4D91" w:rsidRPr="001D52A0" w:rsidRDefault="008B4D91" w:rsidP="008B4D91">
            <w:pPr>
              <w:autoSpaceDE w:val="0"/>
              <w:autoSpaceDN w:val="0"/>
              <w:adjustRightInd w:val="0"/>
              <w:ind w:left="465"/>
              <w:rPr>
                <w:rFonts w:asciiTheme="minorHAnsi" w:hAnsiTheme="minorHAnsi" w:cs="Arial"/>
                <w:sz w:val="22"/>
                <w:szCs w:val="22"/>
              </w:rPr>
            </w:pPr>
            <w:r w:rsidRPr="001D52A0">
              <w:rPr>
                <w:rFonts w:asciiTheme="minorHAnsi" w:hAnsiTheme="minorHAnsi" w:cs="Arial"/>
                <w:sz w:val="22"/>
                <w:szCs w:val="22"/>
              </w:rPr>
              <w:t>£</w:t>
            </w:r>
            <w:r w:rsidR="00297D3C">
              <w:rPr>
                <w:rFonts w:asciiTheme="minorHAnsi" w:hAnsiTheme="minorHAnsi" w:cs="Arial"/>
                <w:sz w:val="22"/>
                <w:szCs w:val="22"/>
              </w:rPr>
              <w:t>39</w:t>
            </w:r>
            <w:r w:rsidRPr="001D52A0">
              <w:rPr>
                <w:rFonts w:asciiTheme="minorHAnsi" w:hAnsiTheme="minorHAnsi" w:cs="Arial"/>
                <w:sz w:val="22"/>
                <w:szCs w:val="22"/>
              </w:rPr>
              <w:t>2,000</w:t>
            </w:r>
          </w:p>
        </w:tc>
        <w:tc>
          <w:tcPr>
            <w:tcW w:w="976" w:type="dxa"/>
            <w:noWrap/>
            <w:hideMark/>
          </w:tcPr>
          <w:p w14:paraId="14F9BDC4" w14:textId="77777777" w:rsidR="008B4D91" w:rsidRPr="001D52A0" w:rsidRDefault="008B4D91" w:rsidP="008B4D91">
            <w:pPr>
              <w:autoSpaceDE w:val="0"/>
              <w:autoSpaceDN w:val="0"/>
              <w:adjustRightInd w:val="0"/>
              <w:ind w:left="465"/>
              <w:rPr>
                <w:rFonts w:asciiTheme="minorHAnsi" w:hAnsiTheme="minorHAnsi" w:cs="Arial"/>
                <w:sz w:val="22"/>
                <w:szCs w:val="22"/>
              </w:rPr>
            </w:pPr>
          </w:p>
        </w:tc>
        <w:tc>
          <w:tcPr>
            <w:tcW w:w="4053" w:type="dxa"/>
            <w:hideMark/>
          </w:tcPr>
          <w:p w14:paraId="4BF1BB14" w14:textId="6D6384EE" w:rsidR="008B4D91" w:rsidRPr="001D52A0" w:rsidRDefault="00C67F9B" w:rsidP="00EF0BA6">
            <w:pPr>
              <w:autoSpaceDE w:val="0"/>
              <w:autoSpaceDN w:val="0"/>
              <w:adjustRightInd w:val="0"/>
              <w:ind w:left="465"/>
              <w:rPr>
                <w:rFonts w:asciiTheme="minorHAnsi" w:hAnsiTheme="minorHAnsi" w:cs="Arial"/>
                <w:sz w:val="22"/>
                <w:szCs w:val="22"/>
              </w:rPr>
            </w:pPr>
            <w:r w:rsidRPr="00C67F9B">
              <w:rPr>
                <w:rFonts w:asciiTheme="minorHAnsi" w:hAnsiTheme="minorHAnsi" w:cs="Arial"/>
                <w:sz w:val="22"/>
                <w:szCs w:val="22"/>
              </w:rPr>
              <w:t>Electric main gates, replacement netting for waste transfer station, heating equipment</w:t>
            </w:r>
            <w:r w:rsidR="007E1CDE">
              <w:rPr>
                <w:rFonts w:asciiTheme="minorHAnsi" w:hAnsiTheme="minorHAnsi" w:cs="Arial"/>
                <w:sz w:val="22"/>
                <w:szCs w:val="22"/>
              </w:rPr>
              <w:t xml:space="preserve">, essential weighbridge works, structural repairs to transfer station, </w:t>
            </w:r>
            <w:r w:rsidR="004B5C51">
              <w:rPr>
                <w:rFonts w:asciiTheme="minorHAnsi" w:hAnsiTheme="minorHAnsi" w:cs="Arial"/>
                <w:sz w:val="22"/>
                <w:szCs w:val="22"/>
              </w:rPr>
              <w:t>improved reuse and educational facilities.</w:t>
            </w:r>
          </w:p>
        </w:tc>
      </w:tr>
      <w:tr w:rsidR="008B4D91" w:rsidRPr="001D52A0" w14:paraId="3AAD72F6" w14:textId="77777777" w:rsidTr="004E0D8F">
        <w:trPr>
          <w:trHeight w:val="315"/>
        </w:trPr>
        <w:tc>
          <w:tcPr>
            <w:tcW w:w="3478" w:type="dxa"/>
            <w:hideMark/>
          </w:tcPr>
          <w:p w14:paraId="0A31DD4C" w14:textId="77777777" w:rsidR="008B4D91" w:rsidRPr="001D52A0" w:rsidRDefault="008B4D91" w:rsidP="008B4D91">
            <w:pPr>
              <w:autoSpaceDE w:val="0"/>
              <w:autoSpaceDN w:val="0"/>
              <w:adjustRightInd w:val="0"/>
              <w:ind w:left="465"/>
              <w:rPr>
                <w:rFonts w:asciiTheme="minorHAnsi" w:hAnsiTheme="minorHAnsi" w:cs="Arial"/>
                <w:sz w:val="22"/>
                <w:szCs w:val="22"/>
              </w:rPr>
            </w:pPr>
            <w:r w:rsidRPr="001D52A0">
              <w:rPr>
                <w:rFonts w:asciiTheme="minorHAnsi" w:hAnsiTheme="minorHAnsi" w:cs="Arial"/>
                <w:sz w:val="22"/>
                <w:szCs w:val="22"/>
              </w:rPr>
              <w:t xml:space="preserve">Upgrade to finance system </w:t>
            </w:r>
          </w:p>
        </w:tc>
        <w:tc>
          <w:tcPr>
            <w:tcW w:w="1687" w:type="dxa"/>
            <w:noWrap/>
            <w:hideMark/>
          </w:tcPr>
          <w:p w14:paraId="36036E79" w14:textId="77777777" w:rsidR="008B4D91" w:rsidRPr="001D52A0" w:rsidRDefault="008B4D91" w:rsidP="008B4D91">
            <w:pPr>
              <w:autoSpaceDE w:val="0"/>
              <w:autoSpaceDN w:val="0"/>
              <w:adjustRightInd w:val="0"/>
              <w:ind w:left="465"/>
              <w:rPr>
                <w:rFonts w:asciiTheme="minorHAnsi" w:hAnsiTheme="minorHAnsi" w:cs="Arial"/>
                <w:sz w:val="22"/>
                <w:szCs w:val="22"/>
              </w:rPr>
            </w:pPr>
            <w:r w:rsidRPr="001D52A0">
              <w:rPr>
                <w:rFonts w:asciiTheme="minorHAnsi" w:hAnsiTheme="minorHAnsi" w:cs="Arial"/>
                <w:sz w:val="22"/>
                <w:szCs w:val="22"/>
              </w:rPr>
              <w:t>£20,000</w:t>
            </w:r>
          </w:p>
        </w:tc>
        <w:tc>
          <w:tcPr>
            <w:tcW w:w="976" w:type="dxa"/>
            <w:noWrap/>
            <w:hideMark/>
          </w:tcPr>
          <w:p w14:paraId="3CB1E4D6" w14:textId="77777777" w:rsidR="008B4D91" w:rsidRPr="001D52A0" w:rsidRDefault="008B4D91" w:rsidP="008B4D91">
            <w:pPr>
              <w:autoSpaceDE w:val="0"/>
              <w:autoSpaceDN w:val="0"/>
              <w:adjustRightInd w:val="0"/>
              <w:ind w:left="465"/>
              <w:rPr>
                <w:rFonts w:asciiTheme="minorHAnsi" w:hAnsiTheme="minorHAnsi" w:cs="Arial"/>
                <w:sz w:val="22"/>
                <w:szCs w:val="22"/>
              </w:rPr>
            </w:pPr>
          </w:p>
        </w:tc>
        <w:tc>
          <w:tcPr>
            <w:tcW w:w="4053" w:type="dxa"/>
            <w:hideMark/>
          </w:tcPr>
          <w:p w14:paraId="0FA4A728" w14:textId="145052C7" w:rsidR="008B4D91" w:rsidRPr="001D52A0" w:rsidRDefault="004E0D8F" w:rsidP="008B4D91">
            <w:pPr>
              <w:autoSpaceDE w:val="0"/>
              <w:autoSpaceDN w:val="0"/>
              <w:adjustRightInd w:val="0"/>
              <w:ind w:left="465"/>
              <w:jc w:val="both"/>
              <w:rPr>
                <w:rFonts w:asciiTheme="minorHAnsi" w:hAnsiTheme="minorHAnsi" w:cs="Arial"/>
                <w:sz w:val="22"/>
                <w:szCs w:val="22"/>
              </w:rPr>
            </w:pPr>
            <w:r w:rsidRPr="001D52A0">
              <w:rPr>
                <w:rFonts w:asciiTheme="minorHAnsi" w:hAnsiTheme="minorHAnsi" w:cs="Arial"/>
                <w:sz w:val="22"/>
                <w:szCs w:val="22"/>
              </w:rPr>
              <w:t xml:space="preserve">Agresso </w:t>
            </w:r>
          </w:p>
        </w:tc>
      </w:tr>
      <w:tr w:rsidR="008B4D91" w:rsidRPr="001D52A0" w14:paraId="01FC3576" w14:textId="77777777" w:rsidTr="004E0D8F">
        <w:trPr>
          <w:trHeight w:val="900"/>
        </w:trPr>
        <w:tc>
          <w:tcPr>
            <w:tcW w:w="3478" w:type="dxa"/>
            <w:hideMark/>
          </w:tcPr>
          <w:p w14:paraId="0B1CAAB3" w14:textId="77777777" w:rsidR="008B4D91" w:rsidRPr="001D52A0" w:rsidRDefault="008B4D91" w:rsidP="008B4D91">
            <w:pPr>
              <w:autoSpaceDE w:val="0"/>
              <w:autoSpaceDN w:val="0"/>
              <w:adjustRightInd w:val="0"/>
              <w:ind w:left="465"/>
              <w:rPr>
                <w:rFonts w:asciiTheme="minorHAnsi" w:hAnsiTheme="minorHAnsi" w:cs="Arial"/>
                <w:sz w:val="22"/>
                <w:szCs w:val="22"/>
              </w:rPr>
            </w:pPr>
            <w:r w:rsidRPr="001D52A0">
              <w:rPr>
                <w:rFonts w:asciiTheme="minorHAnsi" w:hAnsiTheme="minorHAnsi" w:cs="Arial"/>
                <w:sz w:val="22"/>
                <w:szCs w:val="22"/>
              </w:rPr>
              <w:t xml:space="preserve">DMR and food recycling infrastructure at Abbey Road </w:t>
            </w:r>
          </w:p>
        </w:tc>
        <w:tc>
          <w:tcPr>
            <w:tcW w:w="1687" w:type="dxa"/>
            <w:noWrap/>
            <w:hideMark/>
          </w:tcPr>
          <w:p w14:paraId="65CD570A" w14:textId="77777777" w:rsidR="008B4D91" w:rsidRPr="001D52A0" w:rsidRDefault="008B4D91" w:rsidP="008B4D91">
            <w:pPr>
              <w:autoSpaceDE w:val="0"/>
              <w:autoSpaceDN w:val="0"/>
              <w:adjustRightInd w:val="0"/>
              <w:ind w:left="465"/>
              <w:rPr>
                <w:rFonts w:asciiTheme="minorHAnsi" w:hAnsiTheme="minorHAnsi" w:cs="Arial"/>
                <w:sz w:val="22"/>
                <w:szCs w:val="22"/>
              </w:rPr>
            </w:pPr>
            <w:r w:rsidRPr="001D52A0">
              <w:rPr>
                <w:rFonts w:asciiTheme="minorHAnsi" w:hAnsiTheme="minorHAnsi" w:cs="Arial"/>
                <w:sz w:val="22"/>
                <w:szCs w:val="22"/>
              </w:rPr>
              <w:t>£500,000</w:t>
            </w:r>
          </w:p>
        </w:tc>
        <w:tc>
          <w:tcPr>
            <w:tcW w:w="976" w:type="dxa"/>
            <w:noWrap/>
            <w:hideMark/>
          </w:tcPr>
          <w:p w14:paraId="1190F573" w14:textId="77777777" w:rsidR="008B4D91" w:rsidRPr="001D52A0" w:rsidRDefault="008B4D91" w:rsidP="008B4D91">
            <w:pPr>
              <w:autoSpaceDE w:val="0"/>
              <w:autoSpaceDN w:val="0"/>
              <w:adjustRightInd w:val="0"/>
              <w:ind w:left="465"/>
              <w:rPr>
                <w:rFonts w:asciiTheme="minorHAnsi" w:hAnsiTheme="minorHAnsi" w:cs="Arial"/>
                <w:sz w:val="22"/>
                <w:szCs w:val="22"/>
              </w:rPr>
            </w:pPr>
          </w:p>
        </w:tc>
        <w:tc>
          <w:tcPr>
            <w:tcW w:w="4053" w:type="dxa"/>
            <w:hideMark/>
          </w:tcPr>
          <w:p w14:paraId="0124F5F4" w14:textId="62E6E2EC" w:rsidR="008B4D91" w:rsidRPr="001D52A0" w:rsidRDefault="00752202" w:rsidP="008B4D91">
            <w:pPr>
              <w:autoSpaceDE w:val="0"/>
              <w:autoSpaceDN w:val="0"/>
              <w:adjustRightInd w:val="0"/>
              <w:ind w:left="465"/>
              <w:jc w:val="both"/>
              <w:rPr>
                <w:rFonts w:asciiTheme="minorHAnsi" w:hAnsiTheme="minorHAnsi" w:cs="Arial"/>
                <w:sz w:val="22"/>
                <w:szCs w:val="22"/>
              </w:rPr>
            </w:pPr>
            <w:r w:rsidRPr="001D52A0">
              <w:rPr>
                <w:rFonts w:asciiTheme="minorHAnsi" w:hAnsiTheme="minorHAnsi" w:cs="Arial"/>
                <w:sz w:val="22"/>
                <w:szCs w:val="22"/>
              </w:rPr>
              <w:t>I</w:t>
            </w:r>
            <w:r w:rsidR="008B4D91" w:rsidRPr="001D52A0">
              <w:rPr>
                <w:rFonts w:asciiTheme="minorHAnsi" w:hAnsiTheme="minorHAnsi" w:cs="Arial"/>
                <w:sz w:val="22"/>
                <w:szCs w:val="22"/>
              </w:rPr>
              <w:t>ncreasing options for material contracts and improving recycling and diversion rates from residual treatment. This essentially upgrades and future proofs Abbey Road for EPR</w:t>
            </w:r>
          </w:p>
        </w:tc>
      </w:tr>
      <w:tr w:rsidR="008B4D91" w:rsidRPr="001D52A0" w14:paraId="04DC1749" w14:textId="77777777" w:rsidTr="004E0D8F">
        <w:trPr>
          <w:trHeight w:val="315"/>
        </w:trPr>
        <w:tc>
          <w:tcPr>
            <w:tcW w:w="3478" w:type="dxa"/>
            <w:hideMark/>
          </w:tcPr>
          <w:p w14:paraId="70D66509" w14:textId="77777777" w:rsidR="008B4D91" w:rsidRPr="001D52A0" w:rsidRDefault="008B4D91" w:rsidP="008B4D91">
            <w:pPr>
              <w:autoSpaceDE w:val="0"/>
              <w:autoSpaceDN w:val="0"/>
              <w:adjustRightInd w:val="0"/>
              <w:ind w:left="465"/>
              <w:rPr>
                <w:rFonts w:asciiTheme="minorHAnsi" w:hAnsiTheme="minorHAnsi" w:cs="Arial"/>
                <w:sz w:val="22"/>
                <w:szCs w:val="22"/>
              </w:rPr>
            </w:pPr>
            <w:r w:rsidRPr="001D52A0">
              <w:rPr>
                <w:rFonts w:asciiTheme="minorHAnsi" w:hAnsiTheme="minorHAnsi" w:cs="Arial"/>
                <w:sz w:val="22"/>
                <w:szCs w:val="22"/>
              </w:rPr>
              <w:t xml:space="preserve">New weighbridge software </w:t>
            </w:r>
          </w:p>
        </w:tc>
        <w:tc>
          <w:tcPr>
            <w:tcW w:w="1687" w:type="dxa"/>
            <w:noWrap/>
            <w:hideMark/>
          </w:tcPr>
          <w:p w14:paraId="6BEEF138" w14:textId="77777777" w:rsidR="008B4D91" w:rsidRPr="001D52A0" w:rsidRDefault="008B4D91" w:rsidP="008B4D91">
            <w:pPr>
              <w:autoSpaceDE w:val="0"/>
              <w:autoSpaceDN w:val="0"/>
              <w:adjustRightInd w:val="0"/>
              <w:ind w:left="465"/>
              <w:rPr>
                <w:rFonts w:asciiTheme="minorHAnsi" w:hAnsiTheme="minorHAnsi" w:cs="Arial"/>
                <w:sz w:val="22"/>
                <w:szCs w:val="22"/>
              </w:rPr>
            </w:pPr>
            <w:r w:rsidRPr="001D52A0">
              <w:rPr>
                <w:rFonts w:asciiTheme="minorHAnsi" w:hAnsiTheme="minorHAnsi" w:cs="Arial"/>
                <w:sz w:val="22"/>
                <w:szCs w:val="22"/>
              </w:rPr>
              <w:t>£20,000</w:t>
            </w:r>
          </w:p>
        </w:tc>
        <w:tc>
          <w:tcPr>
            <w:tcW w:w="976" w:type="dxa"/>
            <w:noWrap/>
            <w:hideMark/>
          </w:tcPr>
          <w:p w14:paraId="48A8E15D" w14:textId="77777777" w:rsidR="008B4D91" w:rsidRPr="001D52A0" w:rsidRDefault="008B4D91" w:rsidP="008B4D91">
            <w:pPr>
              <w:autoSpaceDE w:val="0"/>
              <w:autoSpaceDN w:val="0"/>
              <w:adjustRightInd w:val="0"/>
              <w:ind w:left="465"/>
              <w:rPr>
                <w:rFonts w:asciiTheme="minorHAnsi" w:hAnsiTheme="minorHAnsi" w:cs="Arial"/>
                <w:sz w:val="22"/>
                <w:szCs w:val="22"/>
              </w:rPr>
            </w:pPr>
          </w:p>
        </w:tc>
        <w:tc>
          <w:tcPr>
            <w:tcW w:w="4053" w:type="dxa"/>
            <w:hideMark/>
          </w:tcPr>
          <w:p w14:paraId="11DA758B" w14:textId="77777777" w:rsidR="008B4D91" w:rsidRPr="001D52A0" w:rsidRDefault="008B4D91" w:rsidP="008B4D91">
            <w:pPr>
              <w:autoSpaceDE w:val="0"/>
              <w:autoSpaceDN w:val="0"/>
              <w:adjustRightInd w:val="0"/>
              <w:ind w:left="465"/>
              <w:jc w:val="both"/>
              <w:rPr>
                <w:rFonts w:asciiTheme="minorHAnsi" w:hAnsiTheme="minorHAnsi" w:cs="Arial"/>
                <w:sz w:val="22"/>
                <w:szCs w:val="22"/>
              </w:rPr>
            </w:pPr>
          </w:p>
        </w:tc>
      </w:tr>
      <w:tr w:rsidR="008B4D91" w:rsidRPr="001D52A0" w14:paraId="44A37C4B" w14:textId="77777777" w:rsidTr="004E0D8F">
        <w:trPr>
          <w:trHeight w:val="315"/>
        </w:trPr>
        <w:tc>
          <w:tcPr>
            <w:tcW w:w="3478" w:type="dxa"/>
            <w:hideMark/>
          </w:tcPr>
          <w:p w14:paraId="44B8FFF4" w14:textId="77777777" w:rsidR="008B4D91" w:rsidRPr="001D52A0" w:rsidRDefault="008B4D91" w:rsidP="008B4D91">
            <w:pPr>
              <w:autoSpaceDE w:val="0"/>
              <w:autoSpaceDN w:val="0"/>
              <w:adjustRightInd w:val="0"/>
              <w:ind w:left="465"/>
              <w:rPr>
                <w:rFonts w:asciiTheme="minorHAnsi" w:hAnsiTheme="minorHAnsi" w:cs="Arial"/>
                <w:sz w:val="22"/>
                <w:szCs w:val="22"/>
              </w:rPr>
            </w:pPr>
            <w:r w:rsidRPr="001D52A0">
              <w:rPr>
                <w:rFonts w:asciiTheme="minorHAnsi" w:hAnsiTheme="minorHAnsi" w:cs="Arial"/>
                <w:sz w:val="22"/>
                <w:szCs w:val="22"/>
              </w:rPr>
              <w:t xml:space="preserve">Resurfacing work at Transport Avenue and Victoria </w:t>
            </w:r>
          </w:p>
        </w:tc>
        <w:tc>
          <w:tcPr>
            <w:tcW w:w="1687" w:type="dxa"/>
            <w:noWrap/>
            <w:hideMark/>
          </w:tcPr>
          <w:p w14:paraId="0840155A" w14:textId="2A3AD69A" w:rsidR="008B4D91" w:rsidRPr="001D52A0" w:rsidRDefault="00B74452" w:rsidP="008B4D91">
            <w:pPr>
              <w:autoSpaceDE w:val="0"/>
              <w:autoSpaceDN w:val="0"/>
              <w:adjustRightInd w:val="0"/>
              <w:ind w:left="465"/>
              <w:rPr>
                <w:rFonts w:asciiTheme="minorHAnsi" w:hAnsiTheme="minorHAnsi" w:cs="Arial"/>
                <w:sz w:val="22"/>
                <w:szCs w:val="22"/>
              </w:rPr>
            </w:pPr>
            <w:r w:rsidRPr="001D52A0">
              <w:rPr>
                <w:rFonts w:asciiTheme="minorHAnsi" w:hAnsiTheme="minorHAnsi" w:cs="Arial"/>
                <w:sz w:val="22"/>
                <w:szCs w:val="22"/>
              </w:rPr>
              <w:t>£24</w:t>
            </w:r>
            <w:r w:rsidR="008B4D91" w:rsidRPr="001D52A0">
              <w:rPr>
                <w:rFonts w:asciiTheme="minorHAnsi" w:hAnsiTheme="minorHAnsi" w:cs="Arial"/>
                <w:sz w:val="22"/>
                <w:szCs w:val="22"/>
              </w:rPr>
              <w:t>0,000</w:t>
            </w:r>
          </w:p>
        </w:tc>
        <w:tc>
          <w:tcPr>
            <w:tcW w:w="976" w:type="dxa"/>
            <w:noWrap/>
            <w:hideMark/>
          </w:tcPr>
          <w:p w14:paraId="1D7FCBC7" w14:textId="77777777" w:rsidR="008B4D91" w:rsidRPr="001D52A0" w:rsidRDefault="008B4D91" w:rsidP="008B4D91">
            <w:pPr>
              <w:autoSpaceDE w:val="0"/>
              <w:autoSpaceDN w:val="0"/>
              <w:adjustRightInd w:val="0"/>
              <w:ind w:left="465"/>
              <w:rPr>
                <w:rFonts w:asciiTheme="minorHAnsi" w:hAnsiTheme="minorHAnsi" w:cs="Arial"/>
                <w:sz w:val="22"/>
                <w:szCs w:val="22"/>
              </w:rPr>
            </w:pPr>
          </w:p>
        </w:tc>
        <w:tc>
          <w:tcPr>
            <w:tcW w:w="4053" w:type="dxa"/>
            <w:hideMark/>
          </w:tcPr>
          <w:p w14:paraId="4AB95FF8" w14:textId="760A39FB" w:rsidR="008B4D91" w:rsidRPr="001D52A0" w:rsidRDefault="00B74452" w:rsidP="008B4D91">
            <w:pPr>
              <w:autoSpaceDE w:val="0"/>
              <w:autoSpaceDN w:val="0"/>
              <w:adjustRightInd w:val="0"/>
              <w:ind w:left="465"/>
              <w:jc w:val="both"/>
              <w:rPr>
                <w:rFonts w:asciiTheme="minorHAnsi" w:hAnsiTheme="minorHAnsi" w:cs="Arial"/>
                <w:sz w:val="22"/>
                <w:szCs w:val="22"/>
              </w:rPr>
            </w:pPr>
            <w:r w:rsidRPr="001D52A0">
              <w:rPr>
                <w:rFonts w:asciiTheme="minorHAnsi" w:hAnsiTheme="minorHAnsi" w:cs="Arial"/>
                <w:sz w:val="22"/>
                <w:szCs w:val="22"/>
              </w:rPr>
              <w:t>Was £290k, but £50k spent in 2023/24</w:t>
            </w:r>
          </w:p>
        </w:tc>
      </w:tr>
      <w:tr w:rsidR="008B4D91" w:rsidRPr="001D52A0" w14:paraId="3C90478D" w14:textId="77777777" w:rsidTr="004E0D8F">
        <w:trPr>
          <w:trHeight w:val="315"/>
        </w:trPr>
        <w:tc>
          <w:tcPr>
            <w:tcW w:w="3478" w:type="dxa"/>
            <w:hideMark/>
          </w:tcPr>
          <w:p w14:paraId="4EE422DC" w14:textId="77777777" w:rsidR="008B4D91" w:rsidRPr="001D52A0" w:rsidRDefault="008B4D91" w:rsidP="008B4D91">
            <w:pPr>
              <w:autoSpaceDE w:val="0"/>
              <w:autoSpaceDN w:val="0"/>
              <w:adjustRightInd w:val="0"/>
              <w:ind w:left="465"/>
              <w:rPr>
                <w:rFonts w:asciiTheme="minorHAnsi" w:hAnsiTheme="minorHAnsi" w:cs="Arial"/>
                <w:sz w:val="22"/>
                <w:szCs w:val="22"/>
              </w:rPr>
            </w:pPr>
          </w:p>
        </w:tc>
        <w:tc>
          <w:tcPr>
            <w:tcW w:w="1687" w:type="dxa"/>
            <w:noWrap/>
            <w:hideMark/>
          </w:tcPr>
          <w:p w14:paraId="211A350E" w14:textId="2BFA469D" w:rsidR="008B4D91" w:rsidRPr="001D52A0" w:rsidRDefault="008B4D91" w:rsidP="00B74452">
            <w:pPr>
              <w:autoSpaceDE w:val="0"/>
              <w:autoSpaceDN w:val="0"/>
              <w:adjustRightInd w:val="0"/>
              <w:ind w:left="465"/>
              <w:rPr>
                <w:rFonts w:asciiTheme="minorHAnsi" w:hAnsiTheme="minorHAnsi" w:cs="Arial"/>
                <w:b/>
                <w:bCs/>
                <w:sz w:val="22"/>
                <w:szCs w:val="22"/>
              </w:rPr>
            </w:pPr>
            <w:r w:rsidRPr="001D52A0">
              <w:rPr>
                <w:rFonts w:asciiTheme="minorHAnsi" w:hAnsiTheme="minorHAnsi" w:cs="Arial"/>
                <w:b/>
                <w:bCs/>
                <w:sz w:val="22"/>
                <w:szCs w:val="22"/>
              </w:rPr>
              <w:t>£3,</w:t>
            </w:r>
            <w:r w:rsidR="00B74452" w:rsidRPr="001D52A0">
              <w:rPr>
                <w:rFonts w:asciiTheme="minorHAnsi" w:hAnsiTheme="minorHAnsi" w:cs="Arial"/>
                <w:b/>
                <w:bCs/>
                <w:sz w:val="22"/>
                <w:szCs w:val="22"/>
              </w:rPr>
              <w:t>329</w:t>
            </w:r>
            <w:r w:rsidRPr="001D52A0">
              <w:rPr>
                <w:rFonts w:asciiTheme="minorHAnsi" w:hAnsiTheme="minorHAnsi" w:cs="Arial"/>
                <w:b/>
                <w:bCs/>
                <w:sz w:val="22"/>
                <w:szCs w:val="22"/>
              </w:rPr>
              <w:t>,000</w:t>
            </w:r>
          </w:p>
        </w:tc>
        <w:tc>
          <w:tcPr>
            <w:tcW w:w="976" w:type="dxa"/>
            <w:noWrap/>
            <w:hideMark/>
          </w:tcPr>
          <w:p w14:paraId="0572197B" w14:textId="77777777" w:rsidR="008B4D91" w:rsidRPr="001D52A0" w:rsidRDefault="008B4D91" w:rsidP="008B4D91">
            <w:pPr>
              <w:autoSpaceDE w:val="0"/>
              <w:autoSpaceDN w:val="0"/>
              <w:adjustRightInd w:val="0"/>
              <w:ind w:left="465"/>
              <w:rPr>
                <w:rFonts w:asciiTheme="minorHAnsi" w:hAnsiTheme="minorHAnsi" w:cs="Arial"/>
                <w:b/>
                <w:bCs/>
                <w:sz w:val="22"/>
                <w:szCs w:val="22"/>
              </w:rPr>
            </w:pPr>
          </w:p>
        </w:tc>
        <w:tc>
          <w:tcPr>
            <w:tcW w:w="4053" w:type="dxa"/>
            <w:hideMark/>
          </w:tcPr>
          <w:p w14:paraId="05482A6D" w14:textId="77777777" w:rsidR="008B4D91" w:rsidRPr="001D52A0" w:rsidRDefault="008B4D91" w:rsidP="008B4D91">
            <w:pPr>
              <w:autoSpaceDE w:val="0"/>
              <w:autoSpaceDN w:val="0"/>
              <w:adjustRightInd w:val="0"/>
              <w:ind w:left="465"/>
              <w:jc w:val="both"/>
              <w:rPr>
                <w:rFonts w:asciiTheme="minorHAnsi" w:hAnsiTheme="minorHAnsi" w:cs="Arial"/>
                <w:sz w:val="22"/>
                <w:szCs w:val="22"/>
              </w:rPr>
            </w:pPr>
          </w:p>
        </w:tc>
      </w:tr>
    </w:tbl>
    <w:p w14:paraId="5BBECA22" w14:textId="44C6F195" w:rsidR="008B4D91" w:rsidRPr="001D52A0" w:rsidRDefault="008B4D91" w:rsidP="008B4D91">
      <w:pPr>
        <w:autoSpaceDE w:val="0"/>
        <w:autoSpaceDN w:val="0"/>
        <w:adjustRightInd w:val="0"/>
        <w:ind w:left="465"/>
        <w:jc w:val="both"/>
        <w:rPr>
          <w:rFonts w:asciiTheme="minorHAnsi" w:hAnsiTheme="minorHAnsi" w:cs="Arial"/>
          <w:sz w:val="22"/>
          <w:szCs w:val="22"/>
        </w:rPr>
      </w:pPr>
    </w:p>
    <w:p w14:paraId="1F2EAFF5" w14:textId="64EF1665" w:rsidR="00335448" w:rsidRPr="001D52A0" w:rsidRDefault="00335448" w:rsidP="00335448">
      <w:pPr>
        <w:numPr>
          <w:ilvl w:val="1"/>
          <w:numId w:val="24"/>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 xml:space="preserve">There is a spend of £450,000 for our programme, Social Value and Reuse to be spent on containers on a Reuse hub.  This had been budgeted for in 2023/24 but in error had been omitted from the Authority paper for budget approval.  The containers will be purchased by March 2024 and depreciated over five years, costing the Authority £90,000 a year.  This will be funded via the PPP income retained by West London Waste Authority. </w:t>
      </w:r>
    </w:p>
    <w:p w14:paraId="4A29B12E" w14:textId="77777777" w:rsidR="00713A83" w:rsidRPr="001D52A0" w:rsidRDefault="00337A05" w:rsidP="004E4209">
      <w:pPr>
        <w:numPr>
          <w:ilvl w:val="0"/>
          <w:numId w:val="24"/>
        </w:numPr>
        <w:autoSpaceDE w:val="0"/>
        <w:autoSpaceDN w:val="0"/>
        <w:adjustRightInd w:val="0"/>
        <w:spacing w:before="240" w:after="120"/>
        <w:jc w:val="both"/>
        <w:rPr>
          <w:rFonts w:asciiTheme="minorHAnsi" w:hAnsiTheme="minorHAnsi" w:cs="Arial"/>
          <w:b/>
          <w:sz w:val="22"/>
          <w:szCs w:val="22"/>
          <w:lang w:eastAsia="en-GB"/>
        </w:rPr>
      </w:pPr>
      <w:r w:rsidRPr="001D52A0">
        <w:rPr>
          <w:rFonts w:asciiTheme="minorHAnsi" w:hAnsiTheme="minorHAnsi" w:cs="Arial"/>
          <w:b/>
          <w:sz w:val="22"/>
          <w:szCs w:val="22"/>
          <w:lang w:eastAsia="en-GB"/>
        </w:rPr>
        <w:t xml:space="preserve">Reserves </w:t>
      </w:r>
    </w:p>
    <w:p w14:paraId="3C7F1C42" w14:textId="3BDBD7E5" w:rsidR="009F648F" w:rsidRPr="001D52A0" w:rsidRDefault="00842623" w:rsidP="004E4209">
      <w:pPr>
        <w:numPr>
          <w:ilvl w:val="1"/>
          <w:numId w:val="24"/>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 xml:space="preserve">Reserves </w:t>
      </w:r>
      <w:r w:rsidR="007424E2" w:rsidRPr="001D52A0">
        <w:rPr>
          <w:rFonts w:asciiTheme="minorHAnsi" w:hAnsiTheme="minorHAnsi" w:cs="Arial"/>
          <w:sz w:val="22"/>
          <w:szCs w:val="22"/>
        </w:rPr>
        <w:t>represent an organisation</w:t>
      </w:r>
      <w:r w:rsidR="00F16B8F">
        <w:rPr>
          <w:rFonts w:asciiTheme="minorHAnsi" w:hAnsiTheme="minorHAnsi" w:cs="Arial"/>
          <w:sz w:val="22"/>
          <w:szCs w:val="22"/>
        </w:rPr>
        <w:t>’</w:t>
      </w:r>
      <w:r w:rsidR="007424E2" w:rsidRPr="001D52A0">
        <w:rPr>
          <w:rFonts w:asciiTheme="minorHAnsi" w:hAnsiTheme="minorHAnsi" w:cs="Arial"/>
          <w:sz w:val="22"/>
          <w:szCs w:val="22"/>
        </w:rPr>
        <w:t xml:space="preserve">s net worth. They </w:t>
      </w:r>
      <w:r w:rsidRPr="001D52A0">
        <w:rPr>
          <w:rFonts w:asciiTheme="minorHAnsi" w:hAnsiTheme="minorHAnsi" w:cs="Arial"/>
          <w:sz w:val="22"/>
          <w:szCs w:val="22"/>
        </w:rPr>
        <w:t xml:space="preserve">provide a buffer for an organisation to manage </w:t>
      </w:r>
      <w:r w:rsidR="007F4303" w:rsidRPr="001D52A0">
        <w:rPr>
          <w:rFonts w:asciiTheme="minorHAnsi" w:hAnsiTheme="minorHAnsi" w:cs="Arial"/>
          <w:sz w:val="22"/>
          <w:szCs w:val="22"/>
        </w:rPr>
        <w:t xml:space="preserve">risks, for example the </w:t>
      </w:r>
      <w:r w:rsidRPr="001D52A0">
        <w:rPr>
          <w:rFonts w:asciiTheme="minorHAnsi" w:hAnsiTheme="minorHAnsi" w:cs="Arial"/>
          <w:sz w:val="22"/>
          <w:szCs w:val="22"/>
        </w:rPr>
        <w:t xml:space="preserve">fluctuations in </w:t>
      </w:r>
      <w:r w:rsidR="000226EB" w:rsidRPr="001D52A0">
        <w:rPr>
          <w:rFonts w:asciiTheme="minorHAnsi" w:hAnsiTheme="minorHAnsi" w:cs="Arial"/>
          <w:sz w:val="22"/>
          <w:szCs w:val="22"/>
        </w:rPr>
        <w:t>the level of activity or costs – these v</w:t>
      </w:r>
      <w:r w:rsidRPr="001D52A0">
        <w:rPr>
          <w:rFonts w:asciiTheme="minorHAnsi" w:hAnsiTheme="minorHAnsi" w:cs="Arial"/>
          <w:sz w:val="22"/>
          <w:szCs w:val="22"/>
        </w:rPr>
        <w:t>ariances in costs lead to surpluses and deficits be</w:t>
      </w:r>
      <w:r w:rsidR="000226EB" w:rsidRPr="001D52A0">
        <w:rPr>
          <w:rFonts w:asciiTheme="minorHAnsi" w:hAnsiTheme="minorHAnsi" w:cs="Arial"/>
          <w:sz w:val="22"/>
          <w:szCs w:val="22"/>
        </w:rPr>
        <w:t>ing</w:t>
      </w:r>
      <w:r w:rsidRPr="001D52A0">
        <w:rPr>
          <w:rFonts w:asciiTheme="minorHAnsi" w:hAnsiTheme="minorHAnsi" w:cs="Arial"/>
          <w:sz w:val="22"/>
          <w:szCs w:val="22"/>
        </w:rPr>
        <w:t xml:space="preserve"> absorbed within reserves. </w:t>
      </w:r>
      <w:r w:rsidR="009F648F" w:rsidRPr="001D52A0">
        <w:rPr>
          <w:rFonts w:asciiTheme="minorHAnsi" w:hAnsiTheme="minorHAnsi" w:cs="Arial"/>
          <w:sz w:val="22"/>
          <w:szCs w:val="22"/>
        </w:rPr>
        <w:t xml:space="preserve">On this basis, the Authority’s approach to reserves has been to build up </w:t>
      </w:r>
      <w:r w:rsidR="004B4F78" w:rsidRPr="001D52A0">
        <w:rPr>
          <w:rFonts w:asciiTheme="minorHAnsi" w:hAnsiTheme="minorHAnsi" w:cs="Arial"/>
          <w:sz w:val="22"/>
          <w:szCs w:val="22"/>
        </w:rPr>
        <w:t xml:space="preserve">sufficient </w:t>
      </w:r>
      <w:r w:rsidR="009F648F" w:rsidRPr="001D52A0">
        <w:rPr>
          <w:rFonts w:asciiTheme="minorHAnsi" w:hAnsiTheme="minorHAnsi" w:cs="Arial"/>
          <w:sz w:val="22"/>
          <w:szCs w:val="22"/>
        </w:rPr>
        <w:t>reserves to act as a buffer against risk.</w:t>
      </w:r>
    </w:p>
    <w:p w14:paraId="736BF50D" w14:textId="77777777" w:rsidR="00842623" w:rsidRPr="001D52A0" w:rsidRDefault="000226EB" w:rsidP="004E4209">
      <w:pPr>
        <w:numPr>
          <w:ilvl w:val="1"/>
          <w:numId w:val="24"/>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lastRenderedPageBreak/>
        <w:t>The added benefit of reserves is</w:t>
      </w:r>
      <w:r w:rsidR="00D21E55" w:rsidRPr="001D52A0">
        <w:rPr>
          <w:rFonts w:asciiTheme="minorHAnsi" w:hAnsiTheme="minorHAnsi" w:cs="Arial"/>
          <w:sz w:val="22"/>
          <w:szCs w:val="22"/>
        </w:rPr>
        <w:t xml:space="preserve"> that they can be used to stabi</w:t>
      </w:r>
      <w:r w:rsidRPr="001D52A0">
        <w:rPr>
          <w:rFonts w:asciiTheme="minorHAnsi" w:hAnsiTheme="minorHAnsi" w:cs="Arial"/>
          <w:sz w:val="22"/>
          <w:szCs w:val="22"/>
        </w:rPr>
        <w:t xml:space="preserve">lise pricing by removing the need for </w:t>
      </w:r>
      <w:r w:rsidR="007424E2" w:rsidRPr="001D52A0">
        <w:rPr>
          <w:rFonts w:asciiTheme="minorHAnsi" w:hAnsiTheme="minorHAnsi" w:cs="Arial"/>
          <w:sz w:val="22"/>
          <w:szCs w:val="22"/>
        </w:rPr>
        <w:t>“</w:t>
      </w:r>
      <w:r w:rsidR="00842623" w:rsidRPr="001D52A0">
        <w:rPr>
          <w:rFonts w:asciiTheme="minorHAnsi" w:hAnsiTheme="minorHAnsi" w:cs="Arial"/>
          <w:sz w:val="22"/>
          <w:szCs w:val="22"/>
        </w:rPr>
        <w:t>in year</w:t>
      </w:r>
      <w:r w:rsidR="007424E2" w:rsidRPr="001D52A0">
        <w:rPr>
          <w:rFonts w:asciiTheme="minorHAnsi" w:hAnsiTheme="minorHAnsi" w:cs="Arial"/>
          <w:sz w:val="22"/>
          <w:szCs w:val="22"/>
        </w:rPr>
        <w:t>”</w:t>
      </w:r>
      <w:r w:rsidR="00842623" w:rsidRPr="001D52A0">
        <w:rPr>
          <w:rFonts w:asciiTheme="minorHAnsi" w:hAnsiTheme="minorHAnsi" w:cs="Arial"/>
          <w:sz w:val="22"/>
          <w:szCs w:val="22"/>
        </w:rPr>
        <w:t xml:space="preserve"> price reviews. </w:t>
      </w:r>
      <w:r w:rsidR="003A6DC7" w:rsidRPr="001D52A0">
        <w:rPr>
          <w:rFonts w:asciiTheme="minorHAnsi" w:hAnsiTheme="minorHAnsi" w:cs="Arial"/>
          <w:sz w:val="22"/>
          <w:szCs w:val="22"/>
        </w:rPr>
        <w:t>For</w:t>
      </w:r>
      <w:r w:rsidR="009F648F" w:rsidRPr="001D52A0">
        <w:rPr>
          <w:rFonts w:asciiTheme="minorHAnsi" w:hAnsiTheme="minorHAnsi" w:cs="Arial"/>
          <w:sz w:val="22"/>
          <w:szCs w:val="22"/>
        </w:rPr>
        <w:t xml:space="preserve"> boroughs </w:t>
      </w:r>
      <w:r w:rsidR="004B4F78" w:rsidRPr="001D52A0">
        <w:rPr>
          <w:rFonts w:asciiTheme="minorHAnsi" w:hAnsiTheme="minorHAnsi" w:cs="Arial"/>
          <w:sz w:val="22"/>
          <w:szCs w:val="22"/>
        </w:rPr>
        <w:t xml:space="preserve">and indeed the Authority, </w:t>
      </w:r>
      <w:r w:rsidR="00D21E55" w:rsidRPr="001D52A0">
        <w:rPr>
          <w:rFonts w:asciiTheme="minorHAnsi" w:hAnsiTheme="minorHAnsi" w:cs="Arial"/>
          <w:sz w:val="22"/>
          <w:szCs w:val="22"/>
        </w:rPr>
        <w:t xml:space="preserve">this </w:t>
      </w:r>
      <w:r w:rsidR="00842623" w:rsidRPr="001D52A0">
        <w:rPr>
          <w:rFonts w:asciiTheme="minorHAnsi" w:hAnsiTheme="minorHAnsi" w:cs="Arial"/>
          <w:sz w:val="22"/>
          <w:szCs w:val="22"/>
        </w:rPr>
        <w:t xml:space="preserve">pricing stability </w:t>
      </w:r>
      <w:r w:rsidR="004B4F78" w:rsidRPr="001D52A0">
        <w:rPr>
          <w:rFonts w:asciiTheme="minorHAnsi" w:hAnsiTheme="minorHAnsi" w:cs="Arial"/>
          <w:sz w:val="22"/>
          <w:szCs w:val="22"/>
        </w:rPr>
        <w:t xml:space="preserve">/ predictability </w:t>
      </w:r>
      <w:r w:rsidR="00D21E55" w:rsidRPr="001D52A0">
        <w:rPr>
          <w:rFonts w:asciiTheme="minorHAnsi" w:hAnsiTheme="minorHAnsi" w:cs="Arial"/>
          <w:sz w:val="22"/>
          <w:szCs w:val="22"/>
        </w:rPr>
        <w:t>facilitate</w:t>
      </w:r>
      <w:r w:rsidR="004B4F78" w:rsidRPr="001D52A0">
        <w:rPr>
          <w:rFonts w:asciiTheme="minorHAnsi" w:hAnsiTheme="minorHAnsi" w:cs="Arial"/>
          <w:sz w:val="22"/>
          <w:szCs w:val="22"/>
        </w:rPr>
        <w:t>s</w:t>
      </w:r>
      <w:r w:rsidR="00676471" w:rsidRPr="001D52A0">
        <w:rPr>
          <w:rFonts w:asciiTheme="minorHAnsi" w:hAnsiTheme="minorHAnsi" w:cs="Arial"/>
          <w:sz w:val="22"/>
          <w:szCs w:val="22"/>
        </w:rPr>
        <w:t xml:space="preserve"> much</w:t>
      </w:r>
      <w:r w:rsidR="00D21E55" w:rsidRPr="001D52A0">
        <w:rPr>
          <w:rFonts w:asciiTheme="minorHAnsi" w:hAnsiTheme="minorHAnsi" w:cs="Arial"/>
          <w:sz w:val="22"/>
          <w:szCs w:val="22"/>
        </w:rPr>
        <w:t xml:space="preserve"> </w:t>
      </w:r>
      <w:r w:rsidR="00842623" w:rsidRPr="001D52A0">
        <w:rPr>
          <w:rFonts w:asciiTheme="minorHAnsi" w:hAnsiTheme="minorHAnsi" w:cs="Arial"/>
          <w:sz w:val="22"/>
          <w:szCs w:val="22"/>
        </w:rPr>
        <w:t>better planning and budgetary control.</w:t>
      </w:r>
      <w:r w:rsidR="009F648F" w:rsidRPr="001D52A0">
        <w:rPr>
          <w:rFonts w:asciiTheme="minorHAnsi" w:hAnsiTheme="minorHAnsi" w:cs="Arial"/>
          <w:sz w:val="22"/>
          <w:szCs w:val="22"/>
        </w:rPr>
        <w:t xml:space="preserve"> </w:t>
      </w:r>
      <w:r w:rsidR="00842623" w:rsidRPr="001D52A0">
        <w:rPr>
          <w:rFonts w:asciiTheme="minorHAnsi" w:hAnsiTheme="minorHAnsi" w:cs="Arial"/>
          <w:sz w:val="22"/>
          <w:szCs w:val="22"/>
        </w:rPr>
        <w:t xml:space="preserve"> </w:t>
      </w:r>
    </w:p>
    <w:p w14:paraId="0FA4F534" w14:textId="14F316A9" w:rsidR="002903EF" w:rsidRPr="001D52A0" w:rsidRDefault="002903EF" w:rsidP="004E4209">
      <w:pPr>
        <w:numPr>
          <w:ilvl w:val="1"/>
          <w:numId w:val="24"/>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 xml:space="preserve">For </w:t>
      </w:r>
      <w:r w:rsidR="00744AF8" w:rsidRPr="001D52A0">
        <w:rPr>
          <w:rFonts w:asciiTheme="minorHAnsi" w:hAnsiTheme="minorHAnsi" w:cs="Arial"/>
          <w:sz w:val="22"/>
          <w:szCs w:val="22"/>
        </w:rPr>
        <w:t>2024/25</w:t>
      </w:r>
      <w:r w:rsidRPr="001D52A0">
        <w:rPr>
          <w:rFonts w:asciiTheme="minorHAnsi" w:hAnsiTheme="minorHAnsi" w:cs="Arial"/>
          <w:sz w:val="22"/>
          <w:szCs w:val="22"/>
        </w:rPr>
        <w:t xml:space="preserve"> the proposal for reserves </w:t>
      </w:r>
      <w:r w:rsidR="00461A39" w:rsidRPr="001D52A0">
        <w:rPr>
          <w:rFonts w:asciiTheme="minorHAnsi" w:hAnsiTheme="minorHAnsi" w:cs="Arial"/>
          <w:sz w:val="22"/>
          <w:szCs w:val="22"/>
        </w:rPr>
        <w:t xml:space="preserve">is cautious given the </w:t>
      </w:r>
      <w:r w:rsidR="00965351" w:rsidRPr="001D52A0">
        <w:rPr>
          <w:rFonts w:asciiTheme="minorHAnsi" w:hAnsiTheme="minorHAnsi" w:cs="Arial"/>
          <w:sz w:val="22"/>
          <w:szCs w:val="22"/>
        </w:rPr>
        <w:t xml:space="preserve">economic climate and </w:t>
      </w:r>
      <w:r w:rsidR="008711FC" w:rsidRPr="001D52A0">
        <w:rPr>
          <w:rFonts w:asciiTheme="minorHAnsi" w:hAnsiTheme="minorHAnsi" w:cs="Arial"/>
          <w:sz w:val="22"/>
          <w:szCs w:val="22"/>
        </w:rPr>
        <w:t xml:space="preserve">continuing </w:t>
      </w:r>
      <w:r w:rsidR="00461A39" w:rsidRPr="001D52A0">
        <w:rPr>
          <w:rFonts w:asciiTheme="minorHAnsi" w:hAnsiTheme="minorHAnsi" w:cs="Arial"/>
          <w:sz w:val="22"/>
          <w:szCs w:val="22"/>
        </w:rPr>
        <w:t xml:space="preserve">uncertainties resulting from the </w:t>
      </w:r>
      <w:r w:rsidR="00C939F2">
        <w:rPr>
          <w:rFonts w:asciiTheme="minorHAnsi" w:hAnsiTheme="minorHAnsi" w:cs="Arial"/>
          <w:sz w:val="22"/>
          <w:szCs w:val="22"/>
        </w:rPr>
        <w:t>economy, climate change</w:t>
      </w:r>
      <w:r w:rsidR="00C939F2" w:rsidRPr="001D52A0">
        <w:rPr>
          <w:rFonts w:asciiTheme="minorHAnsi" w:hAnsiTheme="minorHAnsi" w:cs="Arial"/>
          <w:sz w:val="22"/>
          <w:szCs w:val="22"/>
        </w:rPr>
        <w:t xml:space="preserve"> </w:t>
      </w:r>
      <w:r w:rsidR="00744AF8" w:rsidRPr="001D52A0">
        <w:rPr>
          <w:rFonts w:asciiTheme="minorHAnsi" w:hAnsiTheme="minorHAnsi" w:cs="Arial"/>
          <w:sz w:val="22"/>
          <w:szCs w:val="22"/>
        </w:rPr>
        <w:t>and legislation</w:t>
      </w:r>
      <w:r w:rsidR="000B2C0B" w:rsidRPr="001D52A0">
        <w:rPr>
          <w:rFonts w:asciiTheme="minorHAnsi" w:hAnsiTheme="minorHAnsi" w:cs="Arial"/>
          <w:sz w:val="22"/>
          <w:szCs w:val="22"/>
        </w:rPr>
        <w:t>.</w:t>
      </w:r>
      <w:r w:rsidR="00461A39" w:rsidRPr="001D52A0">
        <w:rPr>
          <w:rFonts w:asciiTheme="minorHAnsi" w:hAnsiTheme="minorHAnsi" w:cs="Arial"/>
          <w:sz w:val="22"/>
          <w:szCs w:val="22"/>
        </w:rPr>
        <w:t xml:space="preserve"> </w:t>
      </w:r>
    </w:p>
    <w:p w14:paraId="447720E6" w14:textId="75422151" w:rsidR="001D52A0" w:rsidRDefault="00A71000" w:rsidP="00857806">
      <w:pPr>
        <w:numPr>
          <w:ilvl w:val="1"/>
          <w:numId w:val="24"/>
        </w:numPr>
        <w:autoSpaceDE w:val="0"/>
        <w:autoSpaceDN w:val="0"/>
        <w:adjustRightInd w:val="0"/>
        <w:spacing w:before="240" w:after="120"/>
        <w:jc w:val="both"/>
        <w:rPr>
          <w:rFonts w:asciiTheme="minorHAnsi" w:hAnsiTheme="minorHAnsi" w:cs="Arial"/>
          <w:sz w:val="22"/>
          <w:szCs w:val="22"/>
        </w:rPr>
      </w:pPr>
      <w:r w:rsidRPr="00B31F70">
        <w:rPr>
          <w:rFonts w:asciiTheme="minorHAnsi" w:hAnsiTheme="minorHAnsi" w:cs="Arial"/>
          <w:sz w:val="22"/>
          <w:szCs w:val="22"/>
        </w:rPr>
        <w:t>C</w:t>
      </w:r>
      <w:r w:rsidR="007874EB" w:rsidRPr="00B31F70">
        <w:rPr>
          <w:rFonts w:asciiTheme="minorHAnsi" w:hAnsiTheme="minorHAnsi" w:cs="Arial"/>
          <w:sz w:val="22"/>
          <w:szCs w:val="22"/>
        </w:rPr>
        <w:t>onsider</w:t>
      </w:r>
      <w:r w:rsidR="00361744" w:rsidRPr="00B31F70">
        <w:rPr>
          <w:rFonts w:asciiTheme="minorHAnsi" w:hAnsiTheme="minorHAnsi" w:cs="Arial"/>
          <w:sz w:val="22"/>
          <w:szCs w:val="22"/>
        </w:rPr>
        <w:t>ing</w:t>
      </w:r>
      <w:r w:rsidR="007874EB" w:rsidRPr="00B31F70">
        <w:rPr>
          <w:rFonts w:asciiTheme="minorHAnsi" w:hAnsiTheme="minorHAnsi" w:cs="Arial"/>
          <w:sz w:val="22"/>
          <w:szCs w:val="22"/>
        </w:rPr>
        <w:t xml:space="preserve"> reserves in overall terms, i</w:t>
      </w:r>
      <w:r w:rsidR="00CB759E" w:rsidRPr="00B31F70">
        <w:rPr>
          <w:rFonts w:asciiTheme="minorHAnsi" w:hAnsiTheme="minorHAnsi" w:cs="Arial"/>
          <w:sz w:val="22"/>
          <w:szCs w:val="22"/>
        </w:rPr>
        <w:t xml:space="preserve">dentifying </w:t>
      </w:r>
      <w:r w:rsidR="00E55B42" w:rsidRPr="00B31F70">
        <w:rPr>
          <w:rFonts w:asciiTheme="minorHAnsi" w:hAnsiTheme="minorHAnsi" w:cs="Arial"/>
          <w:sz w:val="22"/>
          <w:szCs w:val="22"/>
        </w:rPr>
        <w:t xml:space="preserve">known </w:t>
      </w:r>
      <w:r w:rsidR="00965351" w:rsidRPr="00B31F70">
        <w:rPr>
          <w:rFonts w:asciiTheme="minorHAnsi" w:hAnsiTheme="minorHAnsi" w:cs="Arial"/>
          <w:sz w:val="22"/>
          <w:szCs w:val="22"/>
        </w:rPr>
        <w:t xml:space="preserve">material </w:t>
      </w:r>
      <w:r w:rsidR="00E55B42" w:rsidRPr="00B31F70">
        <w:rPr>
          <w:rFonts w:asciiTheme="minorHAnsi" w:hAnsiTheme="minorHAnsi" w:cs="Arial"/>
          <w:sz w:val="22"/>
          <w:szCs w:val="22"/>
        </w:rPr>
        <w:t>risks facing an Authority provides a useful basis for determining a suitable level of reserves for managing risk. The specific risks</w:t>
      </w:r>
      <w:r w:rsidR="00CB759E" w:rsidRPr="00B31F70">
        <w:rPr>
          <w:rFonts w:asciiTheme="minorHAnsi" w:hAnsiTheme="minorHAnsi" w:cs="Arial"/>
          <w:sz w:val="22"/>
          <w:szCs w:val="22"/>
        </w:rPr>
        <w:t xml:space="preserve"> and</w:t>
      </w:r>
      <w:r w:rsidR="00E55B42" w:rsidRPr="00B31F70">
        <w:rPr>
          <w:rFonts w:asciiTheme="minorHAnsi" w:hAnsiTheme="minorHAnsi" w:cs="Arial"/>
          <w:sz w:val="22"/>
          <w:szCs w:val="22"/>
        </w:rPr>
        <w:t xml:space="preserve"> potential costs </w:t>
      </w:r>
      <w:r w:rsidR="00743665" w:rsidRPr="00B31F70">
        <w:rPr>
          <w:rFonts w:asciiTheme="minorHAnsi" w:hAnsiTheme="minorHAnsi" w:cs="Arial"/>
          <w:sz w:val="22"/>
          <w:szCs w:val="22"/>
        </w:rPr>
        <w:t xml:space="preserve">and likelihood </w:t>
      </w:r>
      <w:r w:rsidR="00E55B42" w:rsidRPr="00B31F70">
        <w:rPr>
          <w:rFonts w:asciiTheme="minorHAnsi" w:hAnsiTheme="minorHAnsi" w:cs="Arial"/>
          <w:sz w:val="22"/>
          <w:szCs w:val="22"/>
        </w:rPr>
        <w:t>that could be associated with them are as follow</w:t>
      </w:r>
      <w:r w:rsidR="00A85B96" w:rsidRPr="00B31F70">
        <w:rPr>
          <w:rFonts w:asciiTheme="minorHAnsi" w:hAnsiTheme="minorHAnsi" w:cs="Arial"/>
          <w:sz w:val="22"/>
          <w:szCs w:val="22"/>
        </w:rPr>
        <w:t>s</w:t>
      </w:r>
      <w:r w:rsidR="00E55B42" w:rsidRPr="00B31F70">
        <w:rPr>
          <w:rFonts w:asciiTheme="minorHAnsi" w:hAnsiTheme="minorHAnsi" w:cs="Arial"/>
          <w:sz w:val="22"/>
          <w:szCs w:val="22"/>
        </w:rPr>
        <w:t xml:space="preserve">: </w:t>
      </w:r>
    </w:p>
    <w:p w14:paraId="05050522" w14:textId="77777777" w:rsidR="00B31F70" w:rsidRPr="00B31F70" w:rsidRDefault="00B31F70" w:rsidP="00857806">
      <w:pPr>
        <w:numPr>
          <w:ilvl w:val="1"/>
          <w:numId w:val="24"/>
        </w:numPr>
        <w:autoSpaceDE w:val="0"/>
        <w:autoSpaceDN w:val="0"/>
        <w:adjustRightInd w:val="0"/>
        <w:spacing w:before="240" w:after="120"/>
        <w:jc w:val="both"/>
        <w:rPr>
          <w:rFonts w:asciiTheme="minorHAnsi" w:hAnsiTheme="minorHAnsi" w:cs="Arial"/>
          <w:sz w:val="22"/>
          <w:szCs w:val="22"/>
        </w:rPr>
      </w:pPr>
    </w:p>
    <w:tbl>
      <w:tblPr>
        <w:tblW w:w="107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8"/>
        <w:gridCol w:w="2180"/>
        <w:gridCol w:w="1161"/>
        <w:gridCol w:w="1955"/>
        <w:gridCol w:w="1351"/>
      </w:tblGrid>
      <w:tr w:rsidR="00A4357A" w:rsidRPr="001D52A0" w14:paraId="1128671E" w14:textId="77777777" w:rsidTr="004D31CF">
        <w:trPr>
          <w:trHeight w:val="108"/>
        </w:trPr>
        <w:tc>
          <w:tcPr>
            <w:tcW w:w="4138" w:type="dxa"/>
            <w:shd w:val="clear" w:color="auto" w:fill="auto"/>
          </w:tcPr>
          <w:p w14:paraId="57EE1319" w14:textId="77777777" w:rsidR="00201B2C" w:rsidRPr="001D52A0" w:rsidRDefault="00201B2C" w:rsidP="001B29DD">
            <w:pPr>
              <w:rPr>
                <w:rFonts w:asciiTheme="minorHAnsi" w:hAnsiTheme="minorHAnsi" w:cs="Arial"/>
                <w:b/>
                <w:sz w:val="22"/>
                <w:szCs w:val="22"/>
              </w:rPr>
            </w:pPr>
            <w:r w:rsidRPr="001D52A0">
              <w:rPr>
                <w:rFonts w:asciiTheme="minorHAnsi" w:hAnsiTheme="minorHAnsi" w:cs="Arial"/>
                <w:b/>
                <w:sz w:val="22"/>
                <w:szCs w:val="22"/>
              </w:rPr>
              <w:t xml:space="preserve">Risk Description </w:t>
            </w:r>
          </w:p>
        </w:tc>
        <w:tc>
          <w:tcPr>
            <w:tcW w:w="2180" w:type="dxa"/>
          </w:tcPr>
          <w:p w14:paraId="635F7AAD" w14:textId="77777777" w:rsidR="00201B2C" w:rsidRPr="001D52A0" w:rsidRDefault="00201B2C" w:rsidP="00BA07B5">
            <w:pPr>
              <w:jc w:val="center"/>
              <w:rPr>
                <w:rFonts w:asciiTheme="minorHAnsi" w:hAnsiTheme="minorHAnsi" w:cs="Arial"/>
                <w:b/>
                <w:sz w:val="22"/>
                <w:szCs w:val="22"/>
              </w:rPr>
            </w:pPr>
            <w:r w:rsidRPr="001D52A0">
              <w:rPr>
                <w:rFonts w:asciiTheme="minorHAnsi" w:hAnsiTheme="minorHAnsi" w:cs="Arial"/>
                <w:b/>
                <w:sz w:val="22"/>
                <w:szCs w:val="22"/>
              </w:rPr>
              <w:t>Mitigations</w:t>
            </w:r>
          </w:p>
        </w:tc>
        <w:tc>
          <w:tcPr>
            <w:tcW w:w="1161" w:type="dxa"/>
          </w:tcPr>
          <w:p w14:paraId="60F21B75" w14:textId="77777777" w:rsidR="00201B2C" w:rsidRPr="001D52A0" w:rsidRDefault="00201B2C" w:rsidP="00BA07B5">
            <w:pPr>
              <w:jc w:val="center"/>
              <w:rPr>
                <w:rFonts w:asciiTheme="minorHAnsi" w:hAnsiTheme="minorHAnsi" w:cs="Arial"/>
                <w:b/>
                <w:sz w:val="22"/>
                <w:szCs w:val="22"/>
              </w:rPr>
            </w:pPr>
            <w:r w:rsidRPr="001D52A0">
              <w:rPr>
                <w:rFonts w:asciiTheme="minorHAnsi" w:hAnsiTheme="minorHAnsi" w:cs="Arial"/>
                <w:b/>
                <w:sz w:val="22"/>
                <w:szCs w:val="22"/>
              </w:rPr>
              <w:t>Likelihood</w:t>
            </w:r>
          </w:p>
          <w:p w14:paraId="431444D3" w14:textId="77777777" w:rsidR="00201B2C" w:rsidRPr="001D52A0" w:rsidRDefault="00201B2C" w:rsidP="00BA07B5">
            <w:pPr>
              <w:jc w:val="center"/>
              <w:rPr>
                <w:rFonts w:asciiTheme="minorHAnsi" w:hAnsiTheme="minorHAnsi" w:cs="Arial"/>
                <w:b/>
                <w:sz w:val="22"/>
                <w:szCs w:val="22"/>
              </w:rPr>
            </w:pPr>
          </w:p>
        </w:tc>
        <w:tc>
          <w:tcPr>
            <w:tcW w:w="1955" w:type="dxa"/>
            <w:shd w:val="clear" w:color="auto" w:fill="auto"/>
          </w:tcPr>
          <w:p w14:paraId="7BA12D03" w14:textId="77777777" w:rsidR="00201B2C" w:rsidRPr="001D52A0" w:rsidRDefault="00201B2C" w:rsidP="005E6D2C">
            <w:pPr>
              <w:jc w:val="center"/>
              <w:rPr>
                <w:rFonts w:asciiTheme="minorHAnsi" w:hAnsiTheme="minorHAnsi" w:cs="Arial"/>
                <w:b/>
                <w:sz w:val="22"/>
                <w:szCs w:val="22"/>
              </w:rPr>
            </w:pPr>
            <w:r w:rsidRPr="001D52A0">
              <w:rPr>
                <w:rFonts w:asciiTheme="minorHAnsi" w:hAnsiTheme="minorHAnsi" w:cs="Arial"/>
                <w:b/>
                <w:sz w:val="22"/>
                <w:szCs w:val="22"/>
              </w:rPr>
              <w:t>Financial Risk (£000’s)</w:t>
            </w:r>
          </w:p>
        </w:tc>
        <w:tc>
          <w:tcPr>
            <w:tcW w:w="1351" w:type="dxa"/>
          </w:tcPr>
          <w:p w14:paraId="7148CE8A" w14:textId="1554CDDA" w:rsidR="00201B2C" w:rsidRPr="001D52A0" w:rsidRDefault="00C25A9D" w:rsidP="00C25A9D">
            <w:pPr>
              <w:jc w:val="center"/>
              <w:rPr>
                <w:rFonts w:asciiTheme="minorHAnsi" w:hAnsiTheme="minorHAnsi" w:cs="Arial"/>
                <w:b/>
                <w:sz w:val="22"/>
                <w:szCs w:val="22"/>
              </w:rPr>
            </w:pPr>
            <w:r w:rsidRPr="001D52A0">
              <w:rPr>
                <w:rFonts w:asciiTheme="minorHAnsi" w:hAnsiTheme="minorHAnsi" w:cs="Arial"/>
                <w:b/>
                <w:sz w:val="22"/>
                <w:szCs w:val="22"/>
              </w:rPr>
              <w:t>Reserves to set aside (high 100</w:t>
            </w:r>
            <w:r w:rsidR="00163362" w:rsidRPr="001D52A0">
              <w:rPr>
                <w:rFonts w:asciiTheme="minorHAnsi" w:hAnsiTheme="minorHAnsi" w:cs="Arial"/>
                <w:b/>
                <w:sz w:val="22"/>
                <w:szCs w:val="22"/>
              </w:rPr>
              <w:t>%</w:t>
            </w:r>
            <w:r w:rsidRPr="001D52A0">
              <w:rPr>
                <w:rFonts w:asciiTheme="minorHAnsi" w:hAnsiTheme="minorHAnsi" w:cs="Arial"/>
                <w:b/>
                <w:sz w:val="22"/>
                <w:szCs w:val="22"/>
              </w:rPr>
              <w:t xml:space="preserve">, medium 75%, low 50%) </w:t>
            </w:r>
          </w:p>
        </w:tc>
      </w:tr>
      <w:tr w:rsidR="00A4357A" w:rsidRPr="001D52A0" w14:paraId="53C55B50" w14:textId="77777777" w:rsidTr="004D31CF">
        <w:trPr>
          <w:trHeight w:val="1785"/>
        </w:trPr>
        <w:tc>
          <w:tcPr>
            <w:tcW w:w="4138" w:type="dxa"/>
            <w:shd w:val="clear" w:color="auto" w:fill="auto"/>
          </w:tcPr>
          <w:p w14:paraId="56089B6D" w14:textId="77777777" w:rsidR="00201B2C" w:rsidRPr="001D52A0" w:rsidRDefault="00201B2C" w:rsidP="00B66EE9">
            <w:pPr>
              <w:rPr>
                <w:rFonts w:asciiTheme="minorHAnsi" w:hAnsiTheme="minorHAnsi" w:cs="Arial"/>
                <w:sz w:val="22"/>
                <w:szCs w:val="22"/>
              </w:rPr>
            </w:pPr>
            <w:r w:rsidRPr="001D52A0">
              <w:rPr>
                <w:rFonts w:asciiTheme="minorHAnsi" w:hAnsiTheme="minorHAnsi" w:cs="Arial"/>
                <w:sz w:val="22"/>
                <w:szCs w:val="22"/>
              </w:rPr>
              <w:t>The budget is based on assumptions of indexation/ inflation, particularly in relation to contracts. There is a risk of higher costs due to higher than anticipated indexation/inflation, particularly the impact of utility prices and driver shortages on prices.</w:t>
            </w:r>
          </w:p>
        </w:tc>
        <w:tc>
          <w:tcPr>
            <w:tcW w:w="2180" w:type="dxa"/>
          </w:tcPr>
          <w:p w14:paraId="233F80E9" w14:textId="77777777" w:rsidR="00201B2C" w:rsidRPr="001D52A0" w:rsidRDefault="00201B2C" w:rsidP="00B66EE9">
            <w:pPr>
              <w:rPr>
                <w:rFonts w:asciiTheme="minorHAnsi" w:hAnsiTheme="minorHAnsi" w:cs="Arial"/>
                <w:sz w:val="22"/>
                <w:szCs w:val="22"/>
              </w:rPr>
            </w:pPr>
            <w:r w:rsidRPr="001D52A0">
              <w:rPr>
                <w:rFonts w:asciiTheme="minorHAnsi" w:hAnsiTheme="minorHAnsi" w:cs="Arial"/>
                <w:sz w:val="22"/>
                <w:szCs w:val="22"/>
              </w:rPr>
              <w:t>Use of reputable forecasts e.g. HM Treasury</w:t>
            </w:r>
          </w:p>
        </w:tc>
        <w:tc>
          <w:tcPr>
            <w:tcW w:w="1161" w:type="dxa"/>
          </w:tcPr>
          <w:p w14:paraId="56413C17" w14:textId="77777777" w:rsidR="00201B2C" w:rsidRPr="001D52A0" w:rsidRDefault="00201B2C" w:rsidP="00B66EE9">
            <w:pPr>
              <w:rPr>
                <w:rFonts w:asciiTheme="minorHAnsi" w:hAnsiTheme="minorHAnsi" w:cs="Arial"/>
                <w:sz w:val="22"/>
                <w:szCs w:val="22"/>
              </w:rPr>
            </w:pPr>
            <w:r w:rsidRPr="001D52A0">
              <w:rPr>
                <w:rFonts w:asciiTheme="minorHAnsi" w:hAnsiTheme="minorHAnsi" w:cs="Arial"/>
                <w:sz w:val="22"/>
                <w:szCs w:val="22"/>
              </w:rPr>
              <w:t>High</w:t>
            </w:r>
          </w:p>
        </w:tc>
        <w:tc>
          <w:tcPr>
            <w:tcW w:w="1955" w:type="dxa"/>
            <w:shd w:val="clear" w:color="auto" w:fill="auto"/>
          </w:tcPr>
          <w:p w14:paraId="1FAB2935" w14:textId="23DA58C6" w:rsidR="00201B2C" w:rsidRPr="001D52A0" w:rsidRDefault="00201B2C" w:rsidP="00B66EE9">
            <w:pPr>
              <w:rPr>
                <w:rFonts w:asciiTheme="minorHAnsi" w:hAnsiTheme="minorHAnsi" w:cs="Arial"/>
                <w:sz w:val="22"/>
                <w:szCs w:val="22"/>
              </w:rPr>
            </w:pPr>
            <w:r w:rsidRPr="001D52A0">
              <w:rPr>
                <w:rFonts w:asciiTheme="minorHAnsi" w:hAnsiTheme="minorHAnsi" w:cs="Arial"/>
                <w:sz w:val="22"/>
                <w:szCs w:val="22"/>
              </w:rPr>
              <w:t>£</w:t>
            </w:r>
            <w:r w:rsidR="000F5313" w:rsidRPr="001D52A0">
              <w:rPr>
                <w:rFonts w:asciiTheme="minorHAnsi" w:hAnsiTheme="minorHAnsi" w:cs="Arial"/>
                <w:sz w:val="22"/>
                <w:szCs w:val="22"/>
              </w:rPr>
              <w:t>3,047</w:t>
            </w:r>
            <w:r w:rsidRPr="001D52A0">
              <w:rPr>
                <w:rFonts w:asciiTheme="minorHAnsi" w:hAnsiTheme="minorHAnsi" w:cs="Arial"/>
                <w:sz w:val="22"/>
                <w:szCs w:val="22"/>
              </w:rPr>
              <w:t xml:space="preserve"> (representing approx. 5% of WTD costs)</w:t>
            </w:r>
          </w:p>
        </w:tc>
        <w:tc>
          <w:tcPr>
            <w:tcW w:w="1351" w:type="dxa"/>
          </w:tcPr>
          <w:p w14:paraId="04588A7C" w14:textId="05452892" w:rsidR="00201B2C" w:rsidRPr="001D52A0" w:rsidRDefault="00BF358D" w:rsidP="00B66EE9">
            <w:pPr>
              <w:rPr>
                <w:rFonts w:asciiTheme="minorHAnsi" w:hAnsiTheme="minorHAnsi" w:cs="Arial"/>
                <w:sz w:val="22"/>
                <w:szCs w:val="22"/>
              </w:rPr>
            </w:pPr>
            <w:r w:rsidRPr="001D52A0">
              <w:rPr>
                <w:rFonts w:asciiTheme="minorHAnsi" w:hAnsiTheme="minorHAnsi" w:cs="Arial"/>
                <w:sz w:val="22"/>
                <w:szCs w:val="22"/>
              </w:rPr>
              <w:t>£</w:t>
            </w:r>
            <w:r w:rsidR="000F5313" w:rsidRPr="001D52A0">
              <w:rPr>
                <w:rFonts w:asciiTheme="minorHAnsi" w:hAnsiTheme="minorHAnsi" w:cs="Arial"/>
                <w:sz w:val="22"/>
                <w:szCs w:val="22"/>
              </w:rPr>
              <w:t>3,047</w:t>
            </w:r>
          </w:p>
        </w:tc>
      </w:tr>
      <w:tr w:rsidR="007B3507" w:rsidRPr="001D52A0" w14:paraId="0C5B565A" w14:textId="77777777" w:rsidTr="004D31CF">
        <w:trPr>
          <w:trHeight w:val="53"/>
        </w:trPr>
        <w:tc>
          <w:tcPr>
            <w:tcW w:w="4138" w:type="dxa"/>
            <w:shd w:val="clear" w:color="auto" w:fill="auto"/>
          </w:tcPr>
          <w:p w14:paraId="26876EB5" w14:textId="4BAD10AA" w:rsidR="007B3507" w:rsidRPr="001D52A0" w:rsidRDefault="004E4183" w:rsidP="00B66EE9">
            <w:pPr>
              <w:rPr>
                <w:rFonts w:asciiTheme="minorHAnsi" w:hAnsiTheme="minorHAnsi" w:cs="Arial"/>
                <w:sz w:val="22"/>
                <w:szCs w:val="22"/>
              </w:rPr>
            </w:pPr>
            <w:r w:rsidRPr="001D52A0">
              <w:rPr>
                <w:rFonts w:asciiTheme="minorHAnsi" w:hAnsiTheme="minorHAnsi" w:cs="Arial"/>
                <w:sz w:val="22"/>
                <w:szCs w:val="22"/>
              </w:rPr>
              <w:t>An extremely challenging insurance market for the waste sector leading to difficulties in insuring Abbey Road and West Drayton.</w:t>
            </w:r>
            <w:r w:rsidR="007B3507" w:rsidRPr="001D52A0">
              <w:rPr>
                <w:rFonts w:asciiTheme="minorHAnsi" w:hAnsiTheme="minorHAnsi" w:cs="Arial"/>
                <w:sz w:val="22"/>
                <w:szCs w:val="22"/>
              </w:rPr>
              <w:tab/>
            </w:r>
            <w:r w:rsidR="007B3507" w:rsidRPr="001D52A0">
              <w:rPr>
                <w:rFonts w:asciiTheme="minorHAnsi" w:hAnsiTheme="minorHAnsi" w:cs="Arial"/>
                <w:sz w:val="22"/>
                <w:szCs w:val="22"/>
              </w:rPr>
              <w:tab/>
            </w:r>
          </w:p>
        </w:tc>
        <w:tc>
          <w:tcPr>
            <w:tcW w:w="2180" w:type="dxa"/>
          </w:tcPr>
          <w:p w14:paraId="34AEE58E" w14:textId="0C07D4B6" w:rsidR="007B3507" w:rsidRPr="001D52A0" w:rsidRDefault="004E4183" w:rsidP="00B66EE9">
            <w:pPr>
              <w:rPr>
                <w:rFonts w:asciiTheme="minorHAnsi" w:hAnsiTheme="minorHAnsi" w:cs="Arial"/>
                <w:sz w:val="22"/>
                <w:szCs w:val="22"/>
              </w:rPr>
            </w:pPr>
            <w:r w:rsidRPr="001D52A0">
              <w:rPr>
                <w:rFonts w:asciiTheme="minorHAnsi" w:hAnsiTheme="minorHAnsi" w:cs="Arial"/>
                <w:sz w:val="22"/>
                <w:szCs w:val="22"/>
              </w:rPr>
              <w:t>Sum to self-insure should it not be possible to secure some/all insurances</w:t>
            </w:r>
          </w:p>
        </w:tc>
        <w:tc>
          <w:tcPr>
            <w:tcW w:w="1161" w:type="dxa"/>
          </w:tcPr>
          <w:p w14:paraId="0CDC6585" w14:textId="3A46D7BB" w:rsidR="007B3507" w:rsidRPr="001D52A0" w:rsidRDefault="004E4183" w:rsidP="00B66EE9">
            <w:pPr>
              <w:rPr>
                <w:rFonts w:asciiTheme="minorHAnsi" w:hAnsiTheme="minorHAnsi" w:cs="Arial"/>
                <w:sz w:val="22"/>
                <w:szCs w:val="22"/>
              </w:rPr>
            </w:pPr>
            <w:r w:rsidRPr="001D52A0">
              <w:rPr>
                <w:rFonts w:asciiTheme="minorHAnsi" w:hAnsiTheme="minorHAnsi" w:cs="Arial"/>
                <w:sz w:val="22"/>
                <w:szCs w:val="22"/>
              </w:rPr>
              <w:t>High</w:t>
            </w:r>
          </w:p>
          <w:p w14:paraId="34A93D39" w14:textId="77777777" w:rsidR="007B3507" w:rsidRPr="001D52A0" w:rsidRDefault="007B3507" w:rsidP="00B66EE9">
            <w:pPr>
              <w:rPr>
                <w:rFonts w:asciiTheme="minorHAnsi" w:hAnsiTheme="minorHAnsi" w:cs="Arial"/>
                <w:sz w:val="22"/>
                <w:szCs w:val="22"/>
              </w:rPr>
            </w:pPr>
          </w:p>
        </w:tc>
        <w:tc>
          <w:tcPr>
            <w:tcW w:w="1955" w:type="dxa"/>
            <w:shd w:val="clear" w:color="auto" w:fill="auto"/>
          </w:tcPr>
          <w:p w14:paraId="5B9E75DE" w14:textId="363E2C40" w:rsidR="007B3507" w:rsidRPr="001D52A0" w:rsidRDefault="00AF32C4" w:rsidP="00EB5C34">
            <w:pPr>
              <w:rPr>
                <w:rFonts w:asciiTheme="minorHAnsi" w:hAnsiTheme="minorHAnsi" w:cs="Arial"/>
                <w:sz w:val="22"/>
                <w:szCs w:val="22"/>
              </w:rPr>
            </w:pPr>
            <w:r w:rsidRPr="001D52A0">
              <w:rPr>
                <w:rFonts w:asciiTheme="minorHAnsi" w:hAnsiTheme="minorHAnsi" w:cs="Arial"/>
                <w:sz w:val="22"/>
                <w:szCs w:val="22"/>
              </w:rPr>
              <w:t>£</w:t>
            </w:r>
            <w:r w:rsidR="004E4183" w:rsidRPr="001D52A0">
              <w:rPr>
                <w:rFonts w:asciiTheme="minorHAnsi" w:hAnsiTheme="minorHAnsi" w:cs="Arial"/>
                <w:sz w:val="22"/>
                <w:szCs w:val="22"/>
              </w:rPr>
              <w:t>2,000</w:t>
            </w:r>
            <w:r w:rsidRPr="001D52A0">
              <w:rPr>
                <w:rFonts w:asciiTheme="minorHAnsi" w:hAnsiTheme="minorHAnsi" w:cs="Arial"/>
                <w:sz w:val="22"/>
                <w:szCs w:val="22"/>
              </w:rPr>
              <w:t xml:space="preserve"> (</w:t>
            </w:r>
            <w:r w:rsidR="00EB5C34" w:rsidRPr="001D52A0">
              <w:rPr>
                <w:rFonts w:asciiTheme="minorHAnsi" w:hAnsiTheme="minorHAnsi" w:cs="Arial"/>
                <w:sz w:val="22"/>
                <w:szCs w:val="22"/>
              </w:rPr>
              <w:t>reconstruction of Abbey Road</w:t>
            </w:r>
            <w:r w:rsidRPr="001D52A0">
              <w:rPr>
                <w:rFonts w:asciiTheme="minorHAnsi" w:hAnsiTheme="minorHAnsi" w:cs="Arial"/>
                <w:sz w:val="22"/>
                <w:szCs w:val="22"/>
              </w:rPr>
              <w:t>)</w:t>
            </w:r>
          </w:p>
        </w:tc>
        <w:tc>
          <w:tcPr>
            <w:tcW w:w="1351" w:type="dxa"/>
          </w:tcPr>
          <w:p w14:paraId="691CAE65" w14:textId="611D1025" w:rsidR="007B3507" w:rsidRPr="001D52A0" w:rsidRDefault="008235E8" w:rsidP="004E4183">
            <w:pPr>
              <w:rPr>
                <w:rFonts w:asciiTheme="minorHAnsi" w:hAnsiTheme="minorHAnsi" w:cs="Arial"/>
                <w:sz w:val="22"/>
                <w:szCs w:val="22"/>
              </w:rPr>
            </w:pPr>
            <w:r w:rsidRPr="001D52A0">
              <w:rPr>
                <w:rFonts w:asciiTheme="minorHAnsi" w:hAnsiTheme="minorHAnsi" w:cs="Arial"/>
                <w:sz w:val="22"/>
                <w:szCs w:val="22"/>
              </w:rPr>
              <w:t>£</w:t>
            </w:r>
            <w:r w:rsidR="004E4183" w:rsidRPr="001D52A0">
              <w:rPr>
                <w:rFonts w:asciiTheme="minorHAnsi" w:hAnsiTheme="minorHAnsi" w:cs="Arial"/>
                <w:sz w:val="22"/>
                <w:szCs w:val="22"/>
              </w:rPr>
              <w:t>2,000</w:t>
            </w:r>
          </w:p>
        </w:tc>
      </w:tr>
      <w:tr w:rsidR="001D1684" w:rsidRPr="001D52A0" w14:paraId="488A2C2A" w14:textId="77777777" w:rsidTr="004D31CF">
        <w:trPr>
          <w:trHeight w:val="9"/>
        </w:trPr>
        <w:tc>
          <w:tcPr>
            <w:tcW w:w="4138" w:type="dxa"/>
            <w:shd w:val="clear" w:color="auto" w:fill="auto"/>
          </w:tcPr>
          <w:p w14:paraId="554CE29B" w14:textId="77777777" w:rsidR="001D1684" w:rsidRPr="001D52A0" w:rsidRDefault="001D1684" w:rsidP="00B66EE9">
            <w:pPr>
              <w:rPr>
                <w:rFonts w:asciiTheme="minorHAnsi" w:hAnsiTheme="minorHAnsi" w:cs="Arial"/>
                <w:sz w:val="22"/>
                <w:szCs w:val="22"/>
              </w:rPr>
            </w:pPr>
            <w:r w:rsidRPr="001D52A0">
              <w:rPr>
                <w:rFonts w:asciiTheme="minorHAnsi" w:hAnsiTheme="minorHAnsi" w:cs="Arial"/>
                <w:sz w:val="22"/>
                <w:szCs w:val="22"/>
              </w:rPr>
              <w:t>Increased regulation of emissions from energy from waste facilities requiring one off installation of equipment</w:t>
            </w:r>
          </w:p>
        </w:tc>
        <w:tc>
          <w:tcPr>
            <w:tcW w:w="2180" w:type="dxa"/>
          </w:tcPr>
          <w:p w14:paraId="019E2649" w14:textId="77777777" w:rsidR="001D1684" w:rsidRPr="001D52A0" w:rsidRDefault="001D1684" w:rsidP="00B66EE9">
            <w:pPr>
              <w:rPr>
                <w:rFonts w:asciiTheme="minorHAnsi" w:hAnsiTheme="minorHAnsi" w:cs="Arial"/>
                <w:sz w:val="22"/>
                <w:szCs w:val="22"/>
              </w:rPr>
            </w:pPr>
            <w:r w:rsidRPr="001D52A0">
              <w:rPr>
                <w:rFonts w:asciiTheme="minorHAnsi" w:hAnsiTheme="minorHAnsi" w:cs="Arial"/>
                <w:sz w:val="22"/>
                <w:szCs w:val="22"/>
              </w:rPr>
              <w:t>Contract terms</w:t>
            </w:r>
          </w:p>
        </w:tc>
        <w:tc>
          <w:tcPr>
            <w:tcW w:w="1161" w:type="dxa"/>
          </w:tcPr>
          <w:p w14:paraId="2B2F670F" w14:textId="77777777" w:rsidR="001D1684" w:rsidRPr="001D52A0" w:rsidRDefault="001D1684" w:rsidP="00B66EE9">
            <w:pPr>
              <w:rPr>
                <w:rFonts w:asciiTheme="minorHAnsi" w:hAnsiTheme="minorHAnsi" w:cs="Arial"/>
                <w:sz w:val="22"/>
                <w:szCs w:val="22"/>
              </w:rPr>
            </w:pPr>
            <w:r w:rsidRPr="001D52A0">
              <w:rPr>
                <w:rFonts w:asciiTheme="minorHAnsi" w:hAnsiTheme="minorHAnsi" w:cs="Arial"/>
                <w:sz w:val="22"/>
                <w:szCs w:val="22"/>
              </w:rPr>
              <w:t>High</w:t>
            </w:r>
          </w:p>
        </w:tc>
        <w:tc>
          <w:tcPr>
            <w:tcW w:w="1955" w:type="dxa"/>
            <w:shd w:val="clear" w:color="auto" w:fill="auto"/>
          </w:tcPr>
          <w:p w14:paraId="54916831" w14:textId="77777777" w:rsidR="001D1684" w:rsidRPr="001D52A0" w:rsidRDefault="001D1684" w:rsidP="00B66EE9">
            <w:pPr>
              <w:rPr>
                <w:rFonts w:asciiTheme="minorHAnsi" w:hAnsiTheme="minorHAnsi" w:cs="Arial"/>
                <w:sz w:val="22"/>
                <w:szCs w:val="22"/>
              </w:rPr>
            </w:pPr>
            <w:r w:rsidRPr="001D52A0">
              <w:rPr>
                <w:rFonts w:asciiTheme="minorHAnsi" w:hAnsiTheme="minorHAnsi" w:cs="Arial"/>
                <w:sz w:val="22"/>
                <w:szCs w:val="22"/>
              </w:rPr>
              <w:t>£2,000</w:t>
            </w:r>
          </w:p>
        </w:tc>
        <w:tc>
          <w:tcPr>
            <w:tcW w:w="1351" w:type="dxa"/>
          </w:tcPr>
          <w:p w14:paraId="6956F88D" w14:textId="77777777" w:rsidR="001D1684" w:rsidRPr="001D52A0" w:rsidRDefault="001D1684" w:rsidP="00B66EE9">
            <w:pPr>
              <w:rPr>
                <w:rFonts w:asciiTheme="minorHAnsi" w:hAnsiTheme="minorHAnsi" w:cs="Arial"/>
                <w:sz w:val="22"/>
                <w:szCs w:val="22"/>
              </w:rPr>
            </w:pPr>
            <w:r w:rsidRPr="001D52A0">
              <w:rPr>
                <w:rFonts w:asciiTheme="minorHAnsi" w:hAnsiTheme="minorHAnsi" w:cs="Arial"/>
                <w:sz w:val="22"/>
                <w:szCs w:val="22"/>
              </w:rPr>
              <w:t>£2,000</w:t>
            </w:r>
          </w:p>
        </w:tc>
      </w:tr>
      <w:tr w:rsidR="001D1684" w:rsidRPr="001D52A0" w14:paraId="3AABD6D4" w14:textId="77777777" w:rsidTr="004D31CF">
        <w:trPr>
          <w:trHeight w:val="191"/>
        </w:trPr>
        <w:tc>
          <w:tcPr>
            <w:tcW w:w="4138" w:type="dxa"/>
            <w:shd w:val="clear" w:color="auto" w:fill="auto"/>
          </w:tcPr>
          <w:p w14:paraId="77CD1328" w14:textId="77777777" w:rsidR="001D1684" w:rsidRPr="001D52A0" w:rsidRDefault="001D1684" w:rsidP="00B66EE9">
            <w:pPr>
              <w:rPr>
                <w:rFonts w:asciiTheme="minorHAnsi" w:hAnsiTheme="minorHAnsi" w:cs="Arial"/>
                <w:sz w:val="22"/>
                <w:szCs w:val="22"/>
              </w:rPr>
            </w:pPr>
            <w:r w:rsidRPr="001D52A0">
              <w:rPr>
                <w:rFonts w:asciiTheme="minorHAnsi" w:hAnsiTheme="minorHAnsi" w:cs="Arial"/>
                <w:sz w:val="22"/>
                <w:szCs w:val="22"/>
              </w:rPr>
              <w:t>Borough FCL tonnages are higher than budgeted resulting in an under-recovery of HRRC disposal costs through the FCL charge which is fixed</w:t>
            </w:r>
          </w:p>
        </w:tc>
        <w:tc>
          <w:tcPr>
            <w:tcW w:w="2180" w:type="dxa"/>
          </w:tcPr>
          <w:p w14:paraId="1164E5D0" w14:textId="77777777" w:rsidR="001D1684" w:rsidRPr="001D52A0" w:rsidRDefault="001D1684" w:rsidP="00B66EE9">
            <w:pPr>
              <w:rPr>
                <w:rFonts w:asciiTheme="minorHAnsi" w:hAnsiTheme="minorHAnsi" w:cs="Arial"/>
                <w:sz w:val="22"/>
                <w:szCs w:val="22"/>
              </w:rPr>
            </w:pPr>
            <w:r w:rsidRPr="001D52A0">
              <w:rPr>
                <w:rFonts w:asciiTheme="minorHAnsi" w:hAnsiTheme="minorHAnsi" w:cs="Arial"/>
                <w:sz w:val="22"/>
                <w:szCs w:val="22"/>
              </w:rPr>
              <w:t>Using data and working closely with borough colleagues to try and forecast tonnages accurately</w:t>
            </w:r>
          </w:p>
          <w:p w14:paraId="66D10ED6" w14:textId="77777777" w:rsidR="001D1684" w:rsidRPr="001D52A0" w:rsidRDefault="001D1684" w:rsidP="00B66EE9">
            <w:pPr>
              <w:rPr>
                <w:rFonts w:asciiTheme="minorHAnsi" w:hAnsiTheme="minorHAnsi" w:cs="Arial"/>
                <w:sz w:val="22"/>
                <w:szCs w:val="22"/>
              </w:rPr>
            </w:pPr>
          </w:p>
        </w:tc>
        <w:tc>
          <w:tcPr>
            <w:tcW w:w="1161" w:type="dxa"/>
          </w:tcPr>
          <w:p w14:paraId="7D33235F" w14:textId="77777777" w:rsidR="001D1684" w:rsidRPr="001D52A0" w:rsidRDefault="001D1684" w:rsidP="00B66EE9">
            <w:pPr>
              <w:rPr>
                <w:rFonts w:asciiTheme="minorHAnsi" w:hAnsiTheme="minorHAnsi" w:cs="Arial"/>
                <w:sz w:val="22"/>
                <w:szCs w:val="22"/>
              </w:rPr>
            </w:pPr>
            <w:r w:rsidRPr="001D52A0">
              <w:rPr>
                <w:rFonts w:asciiTheme="minorHAnsi" w:hAnsiTheme="minorHAnsi" w:cs="Arial"/>
                <w:sz w:val="22"/>
                <w:szCs w:val="22"/>
              </w:rPr>
              <w:t>Medium</w:t>
            </w:r>
          </w:p>
        </w:tc>
        <w:tc>
          <w:tcPr>
            <w:tcW w:w="1955" w:type="dxa"/>
            <w:shd w:val="clear" w:color="auto" w:fill="auto"/>
          </w:tcPr>
          <w:p w14:paraId="2DE0E87A" w14:textId="77777777" w:rsidR="001D1684" w:rsidRPr="001D52A0" w:rsidRDefault="001D1684" w:rsidP="00B66EE9">
            <w:pPr>
              <w:rPr>
                <w:rFonts w:asciiTheme="minorHAnsi" w:hAnsiTheme="minorHAnsi" w:cs="Arial"/>
                <w:sz w:val="22"/>
                <w:szCs w:val="22"/>
              </w:rPr>
            </w:pPr>
            <w:r w:rsidRPr="001D52A0">
              <w:rPr>
                <w:rFonts w:asciiTheme="minorHAnsi" w:hAnsiTheme="minorHAnsi" w:cs="Arial"/>
                <w:sz w:val="22"/>
                <w:szCs w:val="22"/>
              </w:rPr>
              <w:t>£1,600 (based on residual FCL tonnages at 20% in excess of budgeted levels)</w:t>
            </w:r>
          </w:p>
        </w:tc>
        <w:tc>
          <w:tcPr>
            <w:tcW w:w="1351" w:type="dxa"/>
          </w:tcPr>
          <w:p w14:paraId="284358A1" w14:textId="77777777" w:rsidR="001D1684" w:rsidRPr="001D52A0" w:rsidRDefault="001D1684" w:rsidP="00B66EE9">
            <w:pPr>
              <w:rPr>
                <w:rFonts w:asciiTheme="minorHAnsi" w:hAnsiTheme="minorHAnsi" w:cs="Arial"/>
                <w:sz w:val="22"/>
                <w:szCs w:val="22"/>
              </w:rPr>
            </w:pPr>
            <w:r w:rsidRPr="001D52A0">
              <w:rPr>
                <w:rFonts w:asciiTheme="minorHAnsi" w:hAnsiTheme="minorHAnsi" w:cs="Arial"/>
                <w:sz w:val="22"/>
                <w:szCs w:val="22"/>
              </w:rPr>
              <w:t>£1,200</w:t>
            </w:r>
          </w:p>
        </w:tc>
      </w:tr>
      <w:tr w:rsidR="001D1684" w:rsidRPr="001D52A0" w14:paraId="499BC241" w14:textId="77777777" w:rsidTr="004D31CF">
        <w:trPr>
          <w:trHeight w:val="9"/>
        </w:trPr>
        <w:tc>
          <w:tcPr>
            <w:tcW w:w="4138" w:type="dxa"/>
            <w:shd w:val="clear" w:color="auto" w:fill="auto"/>
          </w:tcPr>
          <w:p w14:paraId="6D5D61A6" w14:textId="4CB8FE0D" w:rsidR="001D1684" w:rsidRPr="001D52A0" w:rsidRDefault="001D1684" w:rsidP="00B66EE9">
            <w:pPr>
              <w:rPr>
                <w:rFonts w:asciiTheme="minorHAnsi" w:hAnsiTheme="minorHAnsi" w:cs="Arial"/>
                <w:sz w:val="22"/>
                <w:szCs w:val="22"/>
              </w:rPr>
            </w:pPr>
            <w:r w:rsidRPr="001D52A0">
              <w:rPr>
                <w:rFonts w:asciiTheme="minorHAnsi" w:hAnsiTheme="minorHAnsi" w:cs="Arial"/>
                <w:sz w:val="22"/>
                <w:szCs w:val="22"/>
              </w:rPr>
              <w:t xml:space="preserve">Industrial action creating site and </w:t>
            </w:r>
            <w:r w:rsidR="007E7C53" w:rsidRPr="001D52A0">
              <w:rPr>
                <w:rFonts w:asciiTheme="minorHAnsi" w:hAnsiTheme="minorHAnsi" w:cs="Arial"/>
                <w:sz w:val="22"/>
                <w:szCs w:val="22"/>
              </w:rPr>
              <w:t>waste flow</w:t>
            </w:r>
            <w:r w:rsidRPr="001D52A0">
              <w:rPr>
                <w:rFonts w:asciiTheme="minorHAnsi" w:hAnsiTheme="minorHAnsi" w:cs="Arial"/>
                <w:sz w:val="22"/>
                <w:szCs w:val="22"/>
              </w:rPr>
              <w:t xml:space="preserve"> disruption </w:t>
            </w:r>
          </w:p>
        </w:tc>
        <w:tc>
          <w:tcPr>
            <w:tcW w:w="2180" w:type="dxa"/>
          </w:tcPr>
          <w:p w14:paraId="327806F4" w14:textId="77777777" w:rsidR="001D1684" w:rsidRPr="001D52A0" w:rsidRDefault="001D1684" w:rsidP="00B66EE9">
            <w:pPr>
              <w:rPr>
                <w:rFonts w:asciiTheme="minorHAnsi" w:hAnsiTheme="minorHAnsi" w:cs="Arial"/>
                <w:sz w:val="22"/>
                <w:szCs w:val="22"/>
              </w:rPr>
            </w:pPr>
            <w:r w:rsidRPr="001D52A0">
              <w:rPr>
                <w:rFonts w:asciiTheme="minorHAnsi" w:hAnsiTheme="minorHAnsi" w:cs="Arial"/>
                <w:sz w:val="22"/>
                <w:szCs w:val="22"/>
              </w:rPr>
              <w:t>Contract terms, contractor business continuity plans and contingency arrangements, insurances</w:t>
            </w:r>
          </w:p>
        </w:tc>
        <w:tc>
          <w:tcPr>
            <w:tcW w:w="1161" w:type="dxa"/>
          </w:tcPr>
          <w:p w14:paraId="41AF9CFA" w14:textId="77777777" w:rsidR="001D1684" w:rsidRPr="001D52A0" w:rsidRDefault="001D1684" w:rsidP="00B66EE9">
            <w:pPr>
              <w:rPr>
                <w:rFonts w:asciiTheme="minorHAnsi" w:hAnsiTheme="minorHAnsi" w:cs="Arial"/>
                <w:sz w:val="22"/>
                <w:szCs w:val="22"/>
              </w:rPr>
            </w:pPr>
            <w:r w:rsidRPr="001D52A0">
              <w:rPr>
                <w:rFonts w:asciiTheme="minorHAnsi" w:hAnsiTheme="minorHAnsi" w:cs="Arial"/>
                <w:sz w:val="22"/>
                <w:szCs w:val="22"/>
              </w:rPr>
              <w:t>Medium</w:t>
            </w:r>
          </w:p>
        </w:tc>
        <w:tc>
          <w:tcPr>
            <w:tcW w:w="1955" w:type="dxa"/>
            <w:shd w:val="clear" w:color="auto" w:fill="auto"/>
          </w:tcPr>
          <w:p w14:paraId="28EAEDEE" w14:textId="77777777" w:rsidR="00475D1E" w:rsidRPr="001D52A0" w:rsidRDefault="00475D1E" w:rsidP="00B66EE9">
            <w:pPr>
              <w:rPr>
                <w:rFonts w:asciiTheme="minorHAnsi" w:hAnsiTheme="minorHAnsi" w:cs="Arial"/>
                <w:sz w:val="22"/>
                <w:szCs w:val="22"/>
              </w:rPr>
            </w:pPr>
            <w:r w:rsidRPr="001D52A0">
              <w:rPr>
                <w:rFonts w:asciiTheme="minorHAnsi" w:hAnsiTheme="minorHAnsi" w:cs="Arial"/>
                <w:sz w:val="22"/>
                <w:szCs w:val="22"/>
              </w:rPr>
              <w:t>£990</w:t>
            </w:r>
          </w:p>
          <w:p w14:paraId="0F8BE5E4" w14:textId="6FF71C73" w:rsidR="001D1684" w:rsidRPr="001D52A0" w:rsidRDefault="00475D1E" w:rsidP="00B66EE9">
            <w:pPr>
              <w:rPr>
                <w:rFonts w:asciiTheme="minorHAnsi" w:hAnsiTheme="minorHAnsi" w:cs="Arial"/>
                <w:sz w:val="22"/>
                <w:szCs w:val="22"/>
              </w:rPr>
            </w:pPr>
            <w:r w:rsidRPr="001D52A0">
              <w:rPr>
                <w:rFonts w:asciiTheme="minorHAnsi" w:hAnsiTheme="minorHAnsi" w:cs="Arial"/>
                <w:sz w:val="22"/>
                <w:szCs w:val="22"/>
              </w:rPr>
              <w:t xml:space="preserve">representing 1 day per month disruption for 12 months  </w:t>
            </w:r>
            <w:r w:rsidR="00C36DE7">
              <w:rPr>
                <w:rFonts w:asciiTheme="minorHAnsi" w:hAnsiTheme="minorHAnsi" w:cs="Arial"/>
                <w:sz w:val="22"/>
                <w:szCs w:val="22"/>
              </w:rPr>
              <w:t>a</w:t>
            </w:r>
            <w:r w:rsidRPr="001D52A0">
              <w:rPr>
                <w:rFonts w:asciiTheme="minorHAnsi" w:hAnsiTheme="minorHAnsi" w:cs="Arial"/>
                <w:sz w:val="22"/>
                <w:szCs w:val="22"/>
              </w:rPr>
              <w:t>ffecting 650 tonnes of recycling per day needing to be sent to EfW @£115 disposal and £12 haulage</w:t>
            </w:r>
          </w:p>
        </w:tc>
        <w:tc>
          <w:tcPr>
            <w:tcW w:w="1351" w:type="dxa"/>
          </w:tcPr>
          <w:p w14:paraId="04FF1A2C" w14:textId="4DF8F3A7" w:rsidR="001D1684" w:rsidRPr="001D52A0" w:rsidRDefault="001D1684" w:rsidP="00B66EE9">
            <w:pPr>
              <w:rPr>
                <w:rFonts w:asciiTheme="minorHAnsi" w:hAnsiTheme="minorHAnsi" w:cs="Arial"/>
                <w:sz w:val="22"/>
                <w:szCs w:val="22"/>
              </w:rPr>
            </w:pPr>
            <w:r w:rsidRPr="001D52A0">
              <w:rPr>
                <w:rFonts w:asciiTheme="minorHAnsi" w:hAnsiTheme="minorHAnsi" w:cs="Arial"/>
                <w:sz w:val="22"/>
                <w:szCs w:val="22"/>
              </w:rPr>
              <w:t>£7</w:t>
            </w:r>
            <w:r w:rsidR="00475D1E" w:rsidRPr="001D52A0">
              <w:rPr>
                <w:rFonts w:asciiTheme="minorHAnsi" w:hAnsiTheme="minorHAnsi" w:cs="Arial"/>
                <w:sz w:val="22"/>
                <w:szCs w:val="22"/>
              </w:rPr>
              <w:t>43</w:t>
            </w:r>
          </w:p>
        </w:tc>
      </w:tr>
      <w:tr w:rsidR="004A15F0" w:rsidRPr="001D52A0" w14:paraId="24C2C2DC" w14:textId="77777777" w:rsidTr="004D31CF">
        <w:trPr>
          <w:trHeight w:val="9"/>
        </w:trPr>
        <w:tc>
          <w:tcPr>
            <w:tcW w:w="4138" w:type="dxa"/>
            <w:shd w:val="clear" w:color="auto" w:fill="auto"/>
          </w:tcPr>
          <w:p w14:paraId="77782142" w14:textId="6A6F8F18" w:rsidR="004A15F0" w:rsidRPr="001D52A0" w:rsidRDefault="004A15F0" w:rsidP="00B66EE9">
            <w:pPr>
              <w:rPr>
                <w:rFonts w:asciiTheme="minorHAnsi" w:hAnsiTheme="minorHAnsi" w:cs="Arial"/>
                <w:sz w:val="22"/>
                <w:szCs w:val="22"/>
              </w:rPr>
            </w:pPr>
            <w:r w:rsidRPr="001D52A0">
              <w:rPr>
                <w:rFonts w:asciiTheme="minorHAnsi" w:hAnsiTheme="minorHAnsi" w:cs="Arial"/>
                <w:sz w:val="22"/>
                <w:szCs w:val="22"/>
              </w:rPr>
              <w:t>The PPP income to pay to boroughs does not materialise e.g. electricity prices don’t remain high and windfall tax</w:t>
            </w:r>
            <w:r w:rsidR="008A4F4B">
              <w:rPr>
                <w:rFonts w:asciiTheme="minorHAnsi" w:hAnsiTheme="minorHAnsi" w:cs="Arial"/>
                <w:sz w:val="22"/>
                <w:szCs w:val="22"/>
              </w:rPr>
              <w:t xml:space="preserve"> is applied</w:t>
            </w:r>
          </w:p>
        </w:tc>
        <w:tc>
          <w:tcPr>
            <w:tcW w:w="2180" w:type="dxa"/>
          </w:tcPr>
          <w:p w14:paraId="56A0E586" w14:textId="77777777" w:rsidR="004A15F0" w:rsidRPr="001D52A0" w:rsidRDefault="004A15F0" w:rsidP="00B66EE9">
            <w:pPr>
              <w:rPr>
                <w:rFonts w:asciiTheme="minorHAnsi" w:hAnsiTheme="minorHAnsi" w:cs="Arial"/>
                <w:sz w:val="22"/>
                <w:szCs w:val="22"/>
              </w:rPr>
            </w:pPr>
            <w:r w:rsidRPr="001D52A0">
              <w:rPr>
                <w:rFonts w:asciiTheme="minorHAnsi" w:hAnsiTheme="minorHAnsi" w:cs="Arial"/>
                <w:sz w:val="22"/>
                <w:szCs w:val="22"/>
              </w:rPr>
              <w:t>Contract terms</w:t>
            </w:r>
          </w:p>
        </w:tc>
        <w:tc>
          <w:tcPr>
            <w:tcW w:w="1161" w:type="dxa"/>
          </w:tcPr>
          <w:p w14:paraId="75922BF4" w14:textId="77777777" w:rsidR="004A15F0" w:rsidRPr="001D52A0" w:rsidRDefault="004A15F0" w:rsidP="00B66EE9">
            <w:pPr>
              <w:rPr>
                <w:rFonts w:asciiTheme="minorHAnsi" w:hAnsiTheme="minorHAnsi" w:cs="Arial"/>
                <w:sz w:val="22"/>
                <w:szCs w:val="22"/>
              </w:rPr>
            </w:pPr>
            <w:r w:rsidRPr="001D52A0">
              <w:rPr>
                <w:rFonts w:asciiTheme="minorHAnsi" w:hAnsiTheme="minorHAnsi" w:cs="Arial"/>
                <w:sz w:val="22"/>
                <w:szCs w:val="22"/>
              </w:rPr>
              <w:t>Low</w:t>
            </w:r>
          </w:p>
        </w:tc>
        <w:tc>
          <w:tcPr>
            <w:tcW w:w="1955" w:type="dxa"/>
            <w:shd w:val="clear" w:color="auto" w:fill="auto"/>
          </w:tcPr>
          <w:p w14:paraId="03AD2D86" w14:textId="500F5585" w:rsidR="004A15F0" w:rsidRPr="001D52A0" w:rsidRDefault="004A15F0" w:rsidP="00C460E9">
            <w:pPr>
              <w:rPr>
                <w:rFonts w:asciiTheme="minorHAnsi" w:hAnsiTheme="minorHAnsi" w:cs="Arial"/>
                <w:sz w:val="22"/>
                <w:szCs w:val="22"/>
              </w:rPr>
            </w:pPr>
            <w:r w:rsidRPr="001D52A0">
              <w:rPr>
                <w:rFonts w:asciiTheme="minorHAnsi" w:hAnsiTheme="minorHAnsi" w:cs="Arial"/>
                <w:sz w:val="22"/>
                <w:szCs w:val="22"/>
              </w:rPr>
              <w:t>£</w:t>
            </w:r>
            <w:r w:rsidR="00CD796E" w:rsidRPr="001D52A0">
              <w:rPr>
                <w:rFonts w:asciiTheme="minorHAnsi" w:hAnsiTheme="minorHAnsi" w:cs="Arial"/>
                <w:sz w:val="22"/>
                <w:szCs w:val="22"/>
              </w:rPr>
              <w:t>6</w:t>
            </w:r>
            <w:r w:rsidRPr="001D52A0">
              <w:rPr>
                <w:rFonts w:asciiTheme="minorHAnsi" w:hAnsiTheme="minorHAnsi" w:cs="Arial"/>
                <w:sz w:val="22"/>
                <w:szCs w:val="22"/>
              </w:rPr>
              <w:t>,</w:t>
            </w:r>
            <w:r w:rsidR="00C460E9" w:rsidRPr="001D52A0">
              <w:rPr>
                <w:rFonts w:asciiTheme="minorHAnsi" w:hAnsiTheme="minorHAnsi" w:cs="Arial"/>
                <w:sz w:val="22"/>
                <w:szCs w:val="22"/>
              </w:rPr>
              <w:t>3</w:t>
            </w:r>
            <w:r w:rsidR="00163362" w:rsidRPr="001D52A0">
              <w:rPr>
                <w:rFonts w:asciiTheme="minorHAnsi" w:hAnsiTheme="minorHAnsi" w:cs="Arial"/>
                <w:sz w:val="22"/>
                <w:szCs w:val="22"/>
              </w:rPr>
              <w:t>00</w:t>
            </w:r>
          </w:p>
        </w:tc>
        <w:tc>
          <w:tcPr>
            <w:tcW w:w="1351" w:type="dxa"/>
          </w:tcPr>
          <w:p w14:paraId="25B82727" w14:textId="5810F116" w:rsidR="004A15F0" w:rsidRPr="001D52A0" w:rsidRDefault="004A15F0" w:rsidP="00B66EE9">
            <w:pPr>
              <w:rPr>
                <w:rFonts w:asciiTheme="minorHAnsi" w:hAnsiTheme="minorHAnsi" w:cs="Arial"/>
                <w:sz w:val="22"/>
                <w:szCs w:val="22"/>
              </w:rPr>
            </w:pPr>
            <w:r w:rsidRPr="001D52A0">
              <w:rPr>
                <w:rFonts w:asciiTheme="minorHAnsi" w:hAnsiTheme="minorHAnsi" w:cs="Arial"/>
                <w:sz w:val="22"/>
                <w:szCs w:val="22"/>
              </w:rPr>
              <w:t>£</w:t>
            </w:r>
            <w:r w:rsidR="00C460E9" w:rsidRPr="001D52A0">
              <w:rPr>
                <w:rFonts w:asciiTheme="minorHAnsi" w:hAnsiTheme="minorHAnsi" w:cs="Arial"/>
                <w:sz w:val="22"/>
                <w:szCs w:val="22"/>
              </w:rPr>
              <w:t>3,1</w:t>
            </w:r>
            <w:r w:rsidR="00163362" w:rsidRPr="001D52A0">
              <w:rPr>
                <w:rFonts w:asciiTheme="minorHAnsi" w:hAnsiTheme="minorHAnsi" w:cs="Arial"/>
                <w:sz w:val="22"/>
                <w:szCs w:val="22"/>
              </w:rPr>
              <w:t>50</w:t>
            </w:r>
          </w:p>
        </w:tc>
      </w:tr>
      <w:tr w:rsidR="00A4357A" w:rsidRPr="001D52A0" w14:paraId="352C4789" w14:textId="77777777" w:rsidTr="004D31CF">
        <w:trPr>
          <w:trHeight w:val="9"/>
        </w:trPr>
        <w:tc>
          <w:tcPr>
            <w:tcW w:w="4138" w:type="dxa"/>
            <w:shd w:val="clear" w:color="auto" w:fill="auto"/>
          </w:tcPr>
          <w:p w14:paraId="5EBA3488" w14:textId="77777777" w:rsidR="00201B2C" w:rsidRPr="001D52A0" w:rsidRDefault="0032240F" w:rsidP="00B66EE9">
            <w:pPr>
              <w:rPr>
                <w:rFonts w:asciiTheme="minorHAnsi" w:hAnsiTheme="minorHAnsi" w:cs="Arial"/>
                <w:sz w:val="22"/>
                <w:szCs w:val="22"/>
              </w:rPr>
            </w:pPr>
            <w:r w:rsidRPr="001D52A0">
              <w:rPr>
                <w:rFonts w:asciiTheme="minorHAnsi" w:hAnsiTheme="minorHAnsi" w:cs="Arial"/>
                <w:sz w:val="22"/>
                <w:szCs w:val="22"/>
              </w:rPr>
              <w:lastRenderedPageBreak/>
              <w:t>C</w:t>
            </w:r>
            <w:r w:rsidR="00201B2C" w:rsidRPr="001D52A0">
              <w:rPr>
                <w:rFonts w:asciiTheme="minorHAnsi" w:hAnsiTheme="minorHAnsi" w:cs="Arial"/>
                <w:sz w:val="22"/>
                <w:szCs w:val="22"/>
              </w:rPr>
              <w:t>osts aris</w:t>
            </w:r>
            <w:r w:rsidRPr="001D52A0">
              <w:rPr>
                <w:rFonts w:asciiTheme="minorHAnsi" w:hAnsiTheme="minorHAnsi" w:cs="Arial"/>
                <w:sz w:val="22"/>
                <w:szCs w:val="22"/>
              </w:rPr>
              <w:t>ing</w:t>
            </w:r>
            <w:r w:rsidR="00201B2C" w:rsidRPr="001D52A0">
              <w:rPr>
                <w:rFonts w:asciiTheme="minorHAnsi" w:hAnsiTheme="minorHAnsi" w:cs="Arial"/>
                <w:sz w:val="22"/>
                <w:szCs w:val="22"/>
              </w:rPr>
              <w:t xml:space="preserve"> from the complex PPP contract as a result of terms that are unclear or ambiguous in relation to the day to day operation and running of services.  </w:t>
            </w:r>
          </w:p>
        </w:tc>
        <w:tc>
          <w:tcPr>
            <w:tcW w:w="2180" w:type="dxa"/>
          </w:tcPr>
          <w:p w14:paraId="287E319B" w14:textId="77777777" w:rsidR="00201B2C" w:rsidRPr="001D52A0" w:rsidRDefault="00201B2C" w:rsidP="00B66EE9">
            <w:pPr>
              <w:rPr>
                <w:rFonts w:asciiTheme="minorHAnsi" w:hAnsiTheme="minorHAnsi" w:cs="Arial"/>
                <w:sz w:val="22"/>
                <w:szCs w:val="22"/>
              </w:rPr>
            </w:pPr>
            <w:r w:rsidRPr="001D52A0">
              <w:rPr>
                <w:rFonts w:asciiTheme="minorHAnsi" w:hAnsiTheme="minorHAnsi" w:cs="Arial"/>
                <w:sz w:val="22"/>
                <w:szCs w:val="22"/>
              </w:rPr>
              <w:t xml:space="preserve">Team and professional advisors with experience and knowledge of detailed contract terms </w:t>
            </w:r>
          </w:p>
        </w:tc>
        <w:tc>
          <w:tcPr>
            <w:tcW w:w="1161" w:type="dxa"/>
          </w:tcPr>
          <w:p w14:paraId="0C41C5E1" w14:textId="77777777" w:rsidR="00201B2C" w:rsidRPr="001D52A0" w:rsidRDefault="0032240F" w:rsidP="00B66EE9">
            <w:pPr>
              <w:rPr>
                <w:rFonts w:asciiTheme="minorHAnsi" w:hAnsiTheme="minorHAnsi" w:cs="Arial"/>
                <w:sz w:val="22"/>
                <w:szCs w:val="22"/>
              </w:rPr>
            </w:pPr>
            <w:r w:rsidRPr="001D52A0">
              <w:rPr>
                <w:rFonts w:asciiTheme="minorHAnsi" w:hAnsiTheme="minorHAnsi" w:cs="Arial"/>
                <w:sz w:val="22"/>
                <w:szCs w:val="22"/>
              </w:rPr>
              <w:t xml:space="preserve">Low </w:t>
            </w:r>
          </w:p>
        </w:tc>
        <w:tc>
          <w:tcPr>
            <w:tcW w:w="1955" w:type="dxa"/>
            <w:shd w:val="clear" w:color="auto" w:fill="auto"/>
          </w:tcPr>
          <w:p w14:paraId="5250EF8D" w14:textId="77777777" w:rsidR="00201B2C" w:rsidRPr="001D52A0" w:rsidRDefault="00201B2C" w:rsidP="00B66EE9">
            <w:pPr>
              <w:rPr>
                <w:rFonts w:asciiTheme="minorHAnsi" w:hAnsiTheme="minorHAnsi" w:cs="Arial"/>
                <w:sz w:val="22"/>
                <w:szCs w:val="22"/>
              </w:rPr>
            </w:pPr>
            <w:r w:rsidRPr="001D52A0">
              <w:rPr>
                <w:rFonts w:asciiTheme="minorHAnsi" w:hAnsiTheme="minorHAnsi" w:cs="Arial"/>
                <w:sz w:val="22"/>
                <w:szCs w:val="22"/>
              </w:rPr>
              <w:t>£</w:t>
            </w:r>
            <w:r w:rsidR="001D1684" w:rsidRPr="001D52A0">
              <w:rPr>
                <w:rFonts w:asciiTheme="minorHAnsi" w:hAnsiTheme="minorHAnsi" w:cs="Arial"/>
                <w:sz w:val="22"/>
                <w:szCs w:val="22"/>
              </w:rPr>
              <w:t>1,000</w:t>
            </w:r>
            <w:r w:rsidRPr="001D52A0">
              <w:rPr>
                <w:rFonts w:asciiTheme="minorHAnsi" w:hAnsiTheme="minorHAnsi" w:cs="Arial"/>
                <w:sz w:val="22"/>
                <w:szCs w:val="22"/>
              </w:rPr>
              <w:t xml:space="preserve"> (based on experience of contractual issues)</w:t>
            </w:r>
          </w:p>
        </w:tc>
        <w:tc>
          <w:tcPr>
            <w:tcW w:w="1351" w:type="dxa"/>
          </w:tcPr>
          <w:p w14:paraId="0602D183" w14:textId="77777777" w:rsidR="00201B2C" w:rsidRPr="001D52A0" w:rsidRDefault="0032240F" w:rsidP="00B66EE9">
            <w:pPr>
              <w:rPr>
                <w:rFonts w:asciiTheme="minorHAnsi" w:hAnsiTheme="minorHAnsi" w:cs="Arial"/>
                <w:sz w:val="22"/>
                <w:szCs w:val="22"/>
              </w:rPr>
            </w:pPr>
            <w:r w:rsidRPr="001D52A0">
              <w:rPr>
                <w:rFonts w:asciiTheme="minorHAnsi" w:hAnsiTheme="minorHAnsi" w:cs="Arial"/>
                <w:sz w:val="22"/>
                <w:szCs w:val="22"/>
              </w:rPr>
              <w:t>£50</w:t>
            </w:r>
            <w:r w:rsidR="001D1684" w:rsidRPr="001D52A0">
              <w:rPr>
                <w:rFonts w:asciiTheme="minorHAnsi" w:hAnsiTheme="minorHAnsi" w:cs="Arial"/>
                <w:sz w:val="22"/>
                <w:szCs w:val="22"/>
              </w:rPr>
              <w:t>0</w:t>
            </w:r>
          </w:p>
        </w:tc>
      </w:tr>
      <w:tr w:rsidR="00A4357A" w:rsidRPr="001D52A0" w14:paraId="512BB796" w14:textId="77777777" w:rsidTr="004D31CF">
        <w:trPr>
          <w:trHeight w:val="9"/>
        </w:trPr>
        <w:tc>
          <w:tcPr>
            <w:tcW w:w="4138" w:type="dxa"/>
            <w:shd w:val="clear" w:color="auto" w:fill="auto"/>
          </w:tcPr>
          <w:p w14:paraId="7EC12E67" w14:textId="77777777" w:rsidR="00201B2C" w:rsidRPr="001D52A0" w:rsidRDefault="00201B2C" w:rsidP="00B66EE9">
            <w:pPr>
              <w:rPr>
                <w:rFonts w:asciiTheme="minorHAnsi" w:hAnsiTheme="minorHAnsi" w:cs="Arial"/>
                <w:sz w:val="22"/>
                <w:szCs w:val="22"/>
              </w:rPr>
            </w:pPr>
            <w:r w:rsidRPr="001D52A0">
              <w:rPr>
                <w:rFonts w:asciiTheme="minorHAnsi" w:hAnsiTheme="minorHAnsi" w:cs="Arial"/>
                <w:sz w:val="22"/>
                <w:szCs w:val="22"/>
              </w:rPr>
              <w:t>With a large number of competitors ready to receive trade waste, there is a risk that price competition could lead to a reduction in planned trade and construction income despite more competitive pricing</w:t>
            </w:r>
          </w:p>
        </w:tc>
        <w:tc>
          <w:tcPr>
            <w:tcW w:w="2180" w:type="dxa"/>
          </w:tcPr>
          <w:p w14:paraId="541E2B3D" w14:textId="77777777" w:rsidR="00201B2C" w:rsidRPr="001D52A0" w:rsidRDefault="00201B2C" w:rsidP="00B66EE9">
            <w:pPr>
              <w:rPr>
                <w:rFonts w:asciiTheme="minorHAnsi" w:hAnsiTheme="minorHAnsi" w:cs="Arial"/>
                <w:sz w:val="22"/>
                <w:szCs w:val="22"/>
              </w:rPr>
            </w:pPr>
            <w:r w:rsidRPr="001D52A0">
              <w:rPr>
                <w:rFonts w:asciiTheme="minorHAnsi" w:hAnsiTheme="minorHAnsi" w:cs="Arial"/>
                <w:sz w:val="22"/>
                <w:szCs w:val="22"/>
              </w:rPr>
              <w:t xml:space="preserve">Ongoing monitoring of trade income and </w:t>
            </w:r>
            <w:r w:rsidR="0032240F" w:rsidRPr="001D52A0">
              <w:rPr>
                <w:rFonts w:asciiTheme="minorHAnsi" w:hAnsiTheme="minorHAnsi" w:cs="Arial"/>
                <w:sz w:val="22"/>
                <w:szCs w:val="22"/>
              </w:rPr>
              <w:t xml:space="preserve">maintaining competitive pricing position in </w:t>
            </w:r>
            <w:r w:rsidRPr="001D52A0">
              <w:rPr>
                <w:rFonts w:asciiTheme="minorHAnsi" w:hAnsiTheme="minorHAnsi" w:cs="Arial"/>
                <w:sz w:val="22"/>
                <w:szCs w:val="22"/>
              </w:rPr>
              <w:t>market place</w:t>
            </w:r>
          </w:p>
        </w:tc>
        <w:tc>
          <w:tcPr>
            <w:tcW w:w="1161" w:type="dxa"/>
          </w:tcPr>
          <w:p w14:paraId="246DACE3" w14:textId="77777777" w:rsidR="00201B2C" w:rsidRPr="001D52A0" w:rsidRDefault="0032240F" w:rsidP="00B66EE9">
            <w:pPr>
              <w:rPr>
                <w:rFonts w:asciiTheme="minorHAnsi" w:hAnsiTheme="minorHAnsi" w:cs="Arial"/>
                <w:sz w:val="22"/>
                <w:szCs w:val="22"/>
              </w:rPr>
            </w:pPr>
            <w:r w:rsidRPr="001D52A0">
              <w:rPr>
                <w:rFonts w:asciiTheme="minorHAnsi" w:hAnsiTheme="minorHAnsi" w:cs="Arial"/>
                <w:sz w:val="22"/>
                <w:szCs w:val="22"/>
              </w:rPr>
              <w:t>Low</w:t>
            </w:r>
          </w:p>
        </w:tc>
        <w:tc>
          <w:tcPr>
            <w:tcW w:w="1955" w:type="dxa"/>
            <w:shd w:val="clear" w:color="auto" w:fill="auto"/>
          </w:tcPr>
          <w:p w14:paraId="1E8E3F42" w14:textId="0CEB89FB" w:rsidR="00201B2C" w:rsidRPr="001D52A0" w:rsidRDefault="00201B2C" w:rsidP="00B66EE9">
            <w:pPr>
              <w:rPr>
                <w:rFonts w:asciiTheme="minorHAnsi" w:hAnsiTheme="minorHAnsi" w:cs="Arial"/>
                <w:sz w:val="22"/>
                <w:szCs w:val="22"/>
              </w:rPr>
            </w:pPr>
            <w:r w:rsidRPr="001D52A0">
              <w:rPr>
                <w:rFonts w:asciiTheme="minorHAnsi" w:hAnsiTheme="minorHAnsi" w:cs="Arial"/>
                <w:sz w:val="22"/>
                <w:szCs w:val="22"/>
              </w:rPr>
              <w:t>£</w:t>
            </w:r>
            <w:r w:rsidR="000F274F" w:rsidRPr="001D52A0">
              <w:rPr>
                <w:rFonts w:asciiTheme="minorHAnsi" w:hAnsiTheme="minorHAnsi" w:cs="Arial"/>
                <w:sz w:val="22"/>
                <w:szCs w:val="22"/>
              </w:rPr>
              <w:t>5</w:t>
            </w:r>
            <w:r w:rsidR="00163362" w:rsidRPr="001D52A0">
              <w:rPr>
                <w:rFonts w:asciiTheme="minorHAnsi" w:hAnsiTheme="minorHAnsi" w:cs="Arial"/>
                <w:sz w:val="22"/>
                <w:szCs w:val="22"/>
              </w:rPr>
              <w:t>50</w:t>
            </w:r>
            <w:r w:rsidRPr="001D52A0">
              <w:rPr>
                <w:rFonts w:asciiTheme="minorHAnsi" w:hAnsiTheme="minorHAnsi" w:cs="Arial"/>
                <w:sz w:val="22"/>
                <w:szCs w:val="22"/>
              </w:rPr>
              <w:t xml:space="preserve"> (representing 20% of trade income</w:t>
            </w:r>
          </w:p>
        </w:tc>
        <w:tc>
          <w:tcPr>
            <w:tcW w:w="1351" w:type="dxa"/>
          </w:tcPr>
          <w:p w14:paraId="39344C44" w14:textId="77777777" w:rsidR="00201B2C" w:rsidRPr="001D52A0" w:rsidRDefault="0032240F" w:rsidP="00B66EE9">
            <w:pPr>
              <w:rPr>
                <w:rFonts w:asciiTheme="minorHAnsi" w:hAnsiTheme="minorHAnsi" w:cs="Arial"/>
                <w:sz w:val="22"/>
                <w:szCs w:val="22"/>
              </w:rPr>
            </w:pPr>
            <w:r w:rsidRPr="001D52A0">
              <w:rPr>
                <w:rFonts w:asciiTheme="minorHAnsi" w:hAnsiTheme="minorHAnsi" w:cs="Arial"/>
                <w:sz w:val="22"/>
                <w:szCs w:val="22"/>
              </w:rPr>
              <w:t>£</w:t>
            </w:r>
            <w:r w:rsidR="00163362" w:rsidRPr="001D52A0">
              <w:rPr>
                <w:rFonts w:asciiTheme="minorHAnsi" w:hAnsiTheme="minorHAnsi" w:cs="Arial"/>
                <w:sz w:val="22"/>
                <w:szCs w:val="22"/>
              </w:rPr>
              <w:t>225</w:t>
            </w:r>
          </w:p>
          <w:p w14:paraId="521D82B2" w14:textId="21118BFE" w:rsidR="00163362" w:rsidRPr="001D52A0" w:rsidRDefault="00163362" w:rsidP="00B66EE9">
            <w:pPr>
              <w:rPr>
                <w:rFonts w:asciiTheme="minorHAnsi" w:hAnsiTheme="minorHAnsi" w:cs="Arial"/>
                <w:sz w:val="22"/>
                <w:szCs w:val="22"/>
              </w:rPr>
            </w:pPr>
          </w:p>
        </w:tc>
      </w:tr>
      <w:tr w:rsidR="00C75DFB" w:rsidRPr="001D52A0" w14:paraId="55EB16B7" w14:textId="77777777" w:rsidTr="004D31CF">
        <w:trPr>
          <w:trHeight w:val="126"/>
        </w:trPr>
        <w:tc>
          <w:tcPr>
            <w:tcW w:w="4138" w:type="dxa"/>
            <w:shd w:val="clear" w:color="auto" w:fill="auto"/>
          </w:tcPr>
          <w:p w14:paraId="259780C4" w14:textId="6E336E43" w:rsidR="00C75DFB" w:rsidRPr="001D52A0" w:rsidRDefault="00C75DFB" w:rsidP="001B59BE">
            <w:pPr>
              <w:rPr>
                <w:rFonts w:asciiTheme="minorHAnsi" w:hAnsiTheme="minorHAnsi" w:cs="Arial"/>
                <w:sz w:val="22"/>
                <w:szCs w:val="22"/>
              </w:rPr>
            </w:pPr>
            <w:r w:rsidRPr="001D52A0">
              <w:rPr>
                <w:rFonts w:asciiTheme="minorHAnsi" w:hAnsiTheme="minorHAnsi" w:cs="Arial"/>
                <w:sz w:val="22"/>
                <w:szCs w:val="22"/>
              </w:rPr>
              <w:t xml:space="preserve">Waste reduction in line with WLWA's projects and funded programmes do not reduce waste </w:t>
            </w:r>
            <w:r w:rsidR="00EC6BF1">
              <w:rPr>
                <w:rFonts w:asciiTheme="minorHAnsi" w:hAnsiTheme="minorHAnsi" w:cs="Arial"/>
                <w:sz w:val="22"/>
                <w:szCs w:val="22"/>
              </w:rPr>
              <w:t>meaning that</w:t>
            </w:r>
            <w:r w:rsidR="00EC6BF1" w:rsidRPr="001D52A0">
              <w:rPr>
                <w:rFonts w:asciiTheme="minorHAnsi" w:hAnsiTheme="minorHAnsi" w:cs="Arial"/>
                <w:sz w:val="22"/>
                <w:szCs w:val="22"/>
              </w:rPr>
              <w:t xml:space="preserve"> </w:t>
            </w:r>
            <w:r w:rsidRPr="001D52A0">
              <w:rPr>
                <w:rFonts w:asciiTheme="minorHAnsi" w:hAnsiTheme="minorHAnsi" w:cs="Arial"/>
                <w:sz w:val="22"/>
                <w:szCs w:val="22"/>
              </w:rPr>
              <w:t xml:space="preserve">levies </w:t>
            </w:r>
            <w:r w:rsidR="00EC6BF1">
              <w:rPr>
                <w:rFonts w:asciiTheme="minorHAnsi" w:hAnsiTheme="minorHAnsi" w:cs="Arial"/>
                <w:sz w:val="22"/>
                <w:szCs w:val="22"/>
              </w:rPr>
              <w:t>must be</w:t>
            </w:r>
            <w:r w:rsidRPr="001D52A0">
              <w:rPr>
                <w:rFonts w:asciiTheme="minorHAnsi" w:hAnsiTheme="minorHAnsi" w:cs="Arial"/>
                <w:sz w:val="22"/>
                <w:szCs w:val="22"/>
              </w:rPr>
              <w:t xml:space="preserve"> increased </w:t>
            </w:r>
            <w:r w:rsidR="00EC6BF1">
              <w:rPr>
                <w:rFonts w:asciiTheme="minorHAnsi" w:hAnsiTheme="minorHAnsi" w:cs="Arial"/>
                <w:sz w:val="22"/>
                <w:szCs w:val="22"/>
              </w:rPr>
              <w:t>significantly</w:t>
            </w:r>
            <w:r w:rsidRPr="001D52A0">
              <w:rPr>
                <w:rFonts w:asciiTheme="minorHAnsi" w:hAnsiTheme="minorHAnsi" w:cs="Arial"/>
                <w:sz w:val="22"/>
                <w:szCs w:val="22"/>
              </w:rPr>
              <w:t xml:space="preserve"> when the Emissions Trading Scheme goes live.</w:t>
            </w:r>
            <w:r w:rsidR="000745BC" w:rsidRPr="001D52A0">
              <w:rPr>
                <w:rFonts w:asciiTheme="minorHAnsi" w:hAnsiTheme="minorHAnsi" w:cs="Arial"/>
                <w:sz w:val="22"/>
                <w:szCs w:val="22"/>
              </w:rPr>
              <w:t xml:space="preserve"> </w:t>
            </w:r>
            <w:r w:rsidR="00E26FFA">
              <w:rPr>
                <w:rFonts w:asciiTheme="minorHAnsi" w:hAnsiTheme="minorHAnsi" w:cs="Arial"/>
                <w:sz w:val="22"/>
                <w:szCs w:val="22"/>
              </w:rPr>
              <w:t>It may be necessary</w:t>
            </w:r>
            <w:r w:rsidR="001B59BE" w:rsidRPr="001D52A0">
              <w:rPr>
                <w:rFonts w:asciiTheme="minorHAnsi" w:hAnsiTheme="minorHAnsi" w:cs="Arial"/>
                <w:sz w:val="22"/>
                <w:szCs w:val="22"/>
              </w:rPr>
              <w:t xml:space="preserve"> to build infrastructure</w:t>
            </w:r>
            <w:r w:rsidR="00840E09">
              <w:rPr>
                <w:rFonts w:asciiTheme="minorHAnsi" w:hAnsiTheme="minorHAnsi" w:cs="Arial"/>
                <w:sz w:val="22"/>
                <w:szCs w:val="22"/>
              </w:rPr>
              <w:t xml:space="preserve"> to provide</w:t>
            </w:r>
            <w:r w:rsidR="001B59BE" w:rsidRPr="001D52A0">
              <w:rPr>
                <w:rFonts w:asciiTheme="minorHAnsi" w:hAnsiTheme="minorHAnsi" w:cs="Arial"/>
                <w:sz w:val="22"/>
                <w:szCs w:val="22"/>
              </w:rPr>
              <w:t xml:space="preserve"> future resilience. </w:t>
            </w:r>
          </w:p>
        </w:tc>
        <w:tc>
          <w:tcPr>
            <w:tcW w:w="2180" w:type="dxa"/>
          </w:tcPr>
          <w:p w14:paraId="4033B705" w14:textId="5D54CFF6" w:rsidR="00C75DFB" w:rsidRPr="001D52A0" w:rsidRDefault="00C75DFB" w:rsidP="00B66EE9">
            <w:pPr>
              <w:rPr>
                <w:rFonts w:asciiTheme="minorHAnsi" w:hAnsiTheme="minorHAnsi" w:cs="Arial"/>
                <w:sz w:val="22"/>
                <w:szCs w:val="22"/>
              </w:rPr>
            </w:pPr>
            <w:r w:rsidRPr="001D52A0">
              <w:rPr>
                <w:rFonts w:asciiTheme="minorHAnsi" w:hAnsiTheme="minorHAnsi" w:cs="Arial"/>
                <w:sz w:val="22"/>
                <w:szCs w:val="22"/>
              </w:rPr>
              <w:t>One third of PPP income retained by WLWA to support in waste minimisation and circular economy.</w:t>
            </w:r>
          </w:p>
        </w:tc>
        <w:tc>
          <w:tcPr>
            <w:tcW w:w="1161" w:type="dxa"/>
          </w:tcPr>
          <w:p w14:paraId="1B01102A" w14:textId="7DDEB841" w:rsidR="00C75DFB" w:rsidRPr="001D52A0" w:rsidRDefault="00C75DFB" w:rsidP="00B66EE9">
            <w:pPr>
              <w:rPr>
                <w:rFonts w:asciiTheme="minorHAnsi" w:hAnsiTheme="minorHAnsi" w:cs="Arial"/>
                <w:sz w:val="22"/>
                <w:szCs w:val="22"/>
              </w:rPr>
            </w:pPr>
            <w:r w:rsidRPr="001D52A0">
              <w:rPr>
                <w:rFonts w:asciiTheme="minorHAnsi" w:hAnsiTheme="minorHAnsi" w:cs="Arial"/>
                <w:sz w:val="22"/>
                <w:szCs w:val="22"/>
              </w:rPr>
              <w:t>High</w:t>
            </w:r>
          </w:p>
        </w:tc>
        <w:tc>
          <w:tcPr>
            <w:tcW w:w="1955" w:type="dxa"/>
            <w:shd w:val="clear" w:color="auto" w:fill="auto"/>
          </w:tcPr>
          <w:p w14:paraId="12D5CA77" w14:textId="448B0F00" w:rsidR="00C75DFB" w:rsidRPr="001D52A0" w:rsidRDefault="00C75DFB" w:rsidP="00B66EE9">
            <w:pPr>
              <w:rPr>
                <w:rFonts w:asciiTheme="minorHAnsi" w:hAnsiTheme="minorHAnsi" w:cs="Arial"/>
                <w:sz w:val="22"/>
                <w:szCs w:val="22"/>
              </w:rPr>
            </w:pPr>
            <w:r w:rsidRPr="001D52A0">
              <w:rPr>
                <w:rFonts w:asciiTheme="minorHAnsi" w:hAnsiTheme="minorHAnsi" w:cs="Arial"/>
                <w:sz w:val="22"/>
                <w:szCs w:val="22"/>
              </w:rPr>
              <w:t>£9,915</w:t>
            </w:r>
          </w:p>
        </w:tc>
        <w:tc>
          <w:tcPr>
            <w:tcW w:w="1351" w:type="dxa"/>
          </w:tcPr>
          <w:p w14:paraId="2EC4FB57" w14:textId="2CE79342" w:rsidR="00C75DFB" w:rsidRPr="001D52A0" w:rsidRDefault="00C75DFB" w:rsidP="008235E8">
            <w:pPr>
              <w:rPr>
                <w:rFonts w:asciiTheme="minorHAnsi" w:hAnsiTheme="minorHAnsi" w:cs="Arial"/>
                <w:sz w:val="22"/>
                <w:szCs w:val="22"/>
              </w:rPr>
            </w:pPr>
            <w:r w:rsidRPr="001D52A0">
              <w:rPr>
                <w:rFonts w:asciiTheme="minorHAnsi" w:hAnsiTheme="minorHAnsi" w:cs="Arial"/>
                <w:sz w:val="22"/>
                <w:szCs w:val="22"/>
              </w:rPr>
              <w:t>£9,915</w:t>
            </w:r>
          </w:p>
        </w:tc>
      </w:tr>
      <w:tr w:rsidR="00A34E44" w:rsidRPr="001D52A0" w14:paraId="0084D638" w14:textId="77777777" w:rsidTr="004D31CF">
        <w:trPr>
          <w:trHeight w:val="36"/>
        </w:trPr>
        <w:tc>
          <w:tcPr>
            <w:tcW w:w="4138" w:type="dxa"/>
            <w:shd w:val="clear" w:color="auto" w:fill="auto"/>
          </w:tcPr>
          <w:p w14:paraId="5527FE0B" w14:textId="0376A04A" w:rsidR="00A34E44" w:rsidRPr="001D52A0" w:rsidRDefault="00A34E44" w:rsidP="00A34E44">
            <w:pPr>
              <w:tabs>
                <w:tab w:val="left" w:pos="1272"/>
              </w:tabs>
              <w:rPr>
                <w:rFonts w:asciiTheme="minorHAnsi" w:hAnsiTheme="minorHAnsi" w:cs="Arial"/>
                <w:sz w:val="22"/>
                <w:szCs w:val="22"/>
              </w:rPr>
            </w:pPr>
            <w:r w:rsidRPr="001D52A0">
              <w:rPr>
                <w:rFonts w:asciiTheme="minorHAnsi" w:hAnsiTheme="minorHAnsi" w:cs="Arial"/>
                <w:sz w:val="22"/>
                <w:szCs w:val="22"/>
              </w:rPr>
              <w:t xml:space="preserve">Residual waste risks - fluctuation in ETS charge to Authority.  Fluctuation predicted to be £10m / 400,000 </w:t>
            </w:r>
            <w:r w:rsidR="000E53FD" w:rsidRPr="001D52A0">
              <w:rPr>
                <w:rFonts w:asciiTheme="minorHAnsi" w:hAnsiTheme="minorHAnsi" w:cs="Arial"/>
                <w:sz w:val="22"/>
                <w:szCs w:val="22"/>
              </w:rPr>
              <w:t xml:space="preserve"> tonnes </w:t>
            </w:r>
            <w:r w:rsidRPr="001D52A0">
              <w:rPr>
                <w:rFonts w:asciiTheme="minorHAnsi" w:hAnsiTheme="minorHAnsi" w:cs="Arial"/>
                <w:sz w:val="22"/>
                <w:szCs w:val="22"/>
              </w:rPr>
              <w:t xml:space="preserve">in year due to the volatility in carbon credit (as this is treated like a market commodity).  Risk that </w:t>
            </w:r>
            <w:r w:rsidR="000E53FD" w:rsidRPr="001D52A0">
              <w:rPr>
                <w:rFonts w:asciiTheme="minorHAnsi" w:hAnsiTheme="minorHAnsi" w:cs="Arial"/>
                <w:sz w:val="22"/>
                <w:szCs w:val="22"/>
              </w:rPr>
              <w:t xml:space="preserve">the </w:t>
            </w:r>
            <w:r w:rsidRPr="001D52A0">
              <w:rPr>
                <w:rFonts w:asciiTheme="minorHAnsi" w:hAnsiTheme="minorHAnsi" w:cs="Arial"/>
                <w:sz w:val="22"/>
                <w:szCs w:val="22"/>
              </w:rPr>
              <w:t>Authority could be impacted from this if Boroughs do not reduce fossil carbon in residual waste.</w:t>
            </w:r>
          </w:p>
        </w:tc>
        <w:tc>
          <w:tcPr>
            <w:tcW w:w="2180" w:type="dxa"/>
          </w:tcPr>
          <w:p w14:paraId="7A49DDCF" w14:textId="7E4EF742" w:rsidR="00A34E44" w:rsidRPr="001D52A0" w:rsidRDefault="00A34E44" w:rsidP="00A34E44">
            <w:pPr>
              <w:rPr>
                <w:rFonts w:asciiTheme="minorHAnsi" w:hAnsiTheme="minorHAnsi" w:cs="Arial"/>
                <w:sz w:val="22"/>
                <w:szCs w:val="22"/>
              </w:rPr>
            </w:pPr>
            <w:r w:rsidRPr="001D52A0">
              <w:rPr>
                <w:rFonts w:asciiTheme="minorHAnsi" w:hAnsiTheme="minorHAnsi" w:cs="Arial"/>
                <w:sz w:val="22"/>
                <w:szCs w:val="22"/>
              </w:rPr>
              <w:t>Work with boroughs to engage with Authority on funded programmes.</w:t>
            </w:r>
          </w:p>
        </w:tc>
        <w:tc>
          <w:tcPr>
            <w:tcW w:w="1161" w:type="dxa"/>
          </w:tcPr>
          <w:p w14:paraId="7ECF4B07" w14:textId="36709CDB" w:rsidR="00A34E44" w:rsidRPr="001D52A0" w:rsidRDefault="00A34E44" w:rsidP="00A34E44">
            <w:pPr>
              <w:rPr>
                <w:rFonts w:asciiTheme="minorHAnsi" w:hAnsiTheme="minorHAnsi" w:cs="Arial"/>
                <w:sz w:val="22"/>
                <w:szCs w:val="22"/>
              </w:rPr>
            </w:pPr>
            <w:r w:rsidRPr="001D52A0">
              <w:rPr>
                <w:rFonts w:asciiTheme="minorHAnsi" w:hAnsiTheme="minorHAnsi" w:cs="Arial"/>
                <w:sz w:val="22"/>
                <w:szCs w:val="22"/>
              </w:rPr>
              <w:t>High</w:t>
            </w:r>
          </w:p>
        </w:tc>
        <w:tc>
          <w:tcPr>
            <w:tcW w:w="1955" w:type="dxa"/>
            <w:shd w:val="clear" w:color="auto" w:fill="auto"/>
          </w:tcPr>
          <w:p w14:paraId="717E3D0F" w14:textId="6197B0D0" w:rsidR="00A34E44" w:rsidRPr="001D52A0" w:rsidRDefault="00A34E44" w:rsidP="00A34E44">
            <w:pPr>
              <w:rPr>
                <w:rFonts w:asciiTheme="minorHAnsi" w:hAnsiTheme="minorHAnsi" w:cs="Arial"/>
                <w:sz w:val="22"/>
                <w:szCs w:val="22"/>
              </w:rPr>
            </w:pPr>
            <w:r w:rsidRPr="001D52A0">
              <w:rPr>
                <w:rFonts w:asciiTheme="minorHAnsi" w:hAnsiTheme="minorHAnsi" w:cs="Arial"/>
                <w:sz w:val="22"/>
                <w:szCs w:val="22"/>
              </w:rPr>
              <w:t>£3,250 representing a build-up of reserves over the next 3 years before ETS goes live in 2028.</w:t>
            </w:r>
          </w:p>
        </w:tc>
        <w:tc>
          <w:tcPr>
            <w:tcW w:w="1351" w:type="dxa"/>
          </w:tcPr>
          <w:p w14:paraId="12F9497C" w14:textId="0891AB62" w:rsidR="00A34E44" w:rsidRPr="001D52A0" w:rsidRDefault="00A34E44" w:rsidP="00A34E44">
            <w:pPr>
              <w:rPr>
                <w:rFonts w:asciiTheme="minorHAnsi" w:hAnsiTheme="minorHAnsi" w:cs="Arial"/>
                <w:sz w:val="22"/>
                <w:szCs w:val="22"/>
              </w:rPr>
            </w:pPr>
            <w:r w:rsidRPr="001D52A0">
              <w:rPr>
                <w:rFonts w:asciiTheme="minorHAnsi" w:hAnsiTheme="minorHAnsi" w:cs="Arial"/>
                <w:sz w:val="22"/>
                <w:szCs w:val="22"/>
              </w:rPr>
              <w:t>£3,250</w:t>
            </w:r>
          </w:p>
        </w:tc>
      </w:tr>
      <w:tr w:rsidR="00A34E44" w:rsidRPr="001D52A0" w14:paraId="3DE15277" w14:textId="77777777" w:rsidTr="004D31CF">
        <w:trPr>
          <w:trHeight w:val="36"/>
        </w:trPr>
        <w:tc>
          <w:tcPr>
            <w:tcW w:w="4138" w:type="dxa"/>
            <w:shd w:val="clear" w:color="auto" w:fill="auto"/>
          </w:tcPr>
          <w:p w14:paraId="152ED5EE" w14:textId="77777777" w:rsidR="00A34E44" w:rsidRPr="001D52A0" w:rsidRDefault="00A34E44" w:rsidP="00A34E44">
            <w:pPr>
              <w:rPr>
                <w:rFonts w:asciiTheme="minorHAnsi" w:hAnsiTheme="minorHAnsi" w:cs="Arial"/>
                <w:b/>
                <w:sz w:val="22"/>
                <w:szCs w:val="22"/>
              </w:rPr>
            </w:pPr>
            <w:r w:rsidRPr="001D52A0">
              <w:rPr>
                <w:rFonts w:asciiTheme="minorHAnsi" w:hAnsiTheme="minorHAnsi" w:cs="Arial"/>
                <w:b/>
                <w:sz w:val="22"/>
                <w:szCs w:val="22"/>
              </w:rPr>
              <w:t>Target level for reserves to manage risks</w:t>
            </w:r>
          </w:p>
        </w:tc>
        <w:tc>
          <w:tcPr>
            <w:tcW w:w="2180" w:type="dxa"/>
          </w:tcPr>
          <w:p w14:paraId="40D1B62C" w14:textId="77777777" w:rsidR="00A34E44" w:rsidRPr="001D52A0" w:rsidRDefault="00A34E44" w:rsidP="00A34E44">
            <w:pPr>
              <w:rPr>
                <w:rFonts w:asciiTheme="minorHAnsi" w:hAnsiTheme="minorHAnsi" w:cs="Arial"/>
                <w:b/>
                <w:sz w:val="22"/>
                <w:szCs w:val="22"/>
              </w:rPr>
            </w:pPr>
          </w:p>
        </w:tc>
        <w:tc>
          <w:tcPr>
            <w:tcW w:w="1161" w:type="dxa"/>
          </w:tcPr>
          <w:p w14:paraId="48467DFE" w14:textId="77777777" w:rsidR="00A34E44" w:rsidRPr="001D52A0" w:rsidRDefault="00A34E44" w:rsidP="00A34E44">
            <w:pPr>
              <w:rPr>
                <w:rFonts w:asciiTheme="minorHAnsi" w:hAnsiTheme="minorHAnsi" w:cs="Arial"/>
                <w:b/>
                <w:sz w:val="22"/>
                <w:szCs w:val="22"/>
              </w:rPr>
            </w:pPr>
          </w:p>
        </w:tc>
        <w:tc>
          <w:tcPr>
            <w:tcW w:w="1955" w:type="dxa"/>
            <w:shd w:val="clear" w:color="auto" w:fill="auto"/>
          </w:tcPr>
          <w:p w14:paraId="535C421A" w14:textId="77777777" w:rsidR="00A34E44" w:rsidRPr="001D52A0" w:rsidRDefault="00A34E44" w:rsidP="00A34E44">
            <w:pPr>
              <w:rPr>
                <w:rFonts w:asciiTheme="minorHAnsi" w:hAnsiTheme="minorHAnsi" w:cs="Arial"/>
                <w:b/>
                <w:sz w:val="22"/>
                <w:szCs w:val="22"/>
              </w:rPr>
            </w:pPr>
          </w:p>
        </w:tc>
        <w:tc>
          <w:tcPr>
            <w:tcW w:w="1351" w:type="dxa"/>
          </w:tcPr>
          <w:p w14:paraId="1560CE91" w14:textId="7986F2D8" w:rsidR="00A34E44" w:rsidRPr="001D52A0" w:rsidRDefault="00A34E44" w:rsidP="00A34E44">
            <w:pPr>
              <w:rPr>
                <w:rFonts w:asciiTheme="minorHAnsi" w:hAnsiTheme="minorHAnsi" w:cs="Arial"/>
                <w:b/>
                <w:sz w:val="22"/>
                <w:szCs w:val="22"/>
              </w:rPr>
            </w:pPr>
            <w:r w:rsidRPr="001D52A0">
              <w:rPr>
                <w:rFonts w:asciiTheme="minorHAnsi" w:hAnsiTheme="minorHAnsi" w:cs="Arial"/>
                <w:b/>
                <w:sz w:val="22"/>
                <w:szCs w:val="22"/>
              </w:rPr>
              <w:t>£26,029</w:t>
            </w:r>
          </w:p>
        </w:tc>
      </w:tr>
    </w:tbl>
    <w:p w14:paraId="08256524" w14:textId="4619EBA3" w:rsidR="00EE72DA" w:rsidRPr="001D52A0" w:rsidRDefault="00480E18" w:rsidP="004E4209">
      <w:pPr>
        <w:numPr>
          <w:ilvl w:val="1"/>
          <w:numId w:val="24"/>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 xml:space="preserve">The </w:t>
      </w:r>
      <w:r w:rsidR="007A08FB" w:rsidRPr="001D52A0">
        <w:rPr>
          <w:rFonts w:asciiTheme="minorHAnsi" w:hAnsiTheme="minorHAnsi" w:cs="Arial"/>
          <w:sz w:val="22"/>
          <w:szCs w:val="22"/>
        </w:rPr>
        <w:t xml:space="preserve">target level of </w:t>
      </w:r>
      <w:r w:rsidR="00C82E7C" w:rsidRPr="001D52A0">
        <w:rPr>
          <w:rFonts w:asciiTheme="minorHAnsi" w:hAnsiTheme="minorHAnsi" w:cs="Arial"/>
          <w:sz w:val="22"/>
          <w:szCs w:val="22"/>
        </w:rPr>
        <w:t>reserve</w:t>
      </w:r>
      <w:r w:rsidR="007A08FB" w:rsidRPr="001D52A0">
        <w:rPr>
          <w:rFonts w:asciiTheme="minorHAnsi" w:hAnsiTheme="minorHAnsi" w:cs="Arial"/>
          <w:sz w:val="22"/>
          <w:szCs w:val="22"/>
        </w:rPr>
        <w:t>s</w:t>
      </w:r>
      <w:r w:rsidR="00C82E7C" w:rsidRPr="001D52A0">
        <w:rPr>
          <w:rFonts w:asciiTheme="minorHAnsi" w:hAnsiTheme="minorHAnsi" w:cs="Arial"/>
          <w:sz w:val="22"/>
          <w:szCs w:val="22"/>
        </w:rPr>
        <w:t xml:space="preserve"> for </w:t>
      </w:r>
      <w:r w:rsidR="002511A9" w:rsidRPr="001D52A0">
        <w:rPr>
          <w:rFonts w:asciiTheme="minorHAnsi" w:hAnsiTheme="minorHAnsi" w:cs="Arial"/>
          <w:sz w:val="22"/>
          <w:szCs w:val="22"/>
        </w:rPr>
        <w:t>2024/25</w:t>
      </w:r>
      <w:r w:rsidR="00C82E7C" w:rsidRPr="001D52A0">
        <w:rPr>
          <w:rFonts w:asciiTheme="minorHAnsi" w:hAnsiTheme="minorHAnsi" w:cs="Arial"/>
          <w:sz w:val="22"/>
          <w:szCs w:val="22"/>
        </w:rPr>
        <w:t xml:space="preserve"> </w:t>
      </w:r>
      <w:r w:rsidR="00E2366A" w:rsidRPr="001D52A0">
        <w:rPr>
          <w:rFonts w:asciiTheme="minorHAnsi" w:hAnsiTheme="minorHAnsi" w:cs="Arial"/>
          <w:sz w:val="22"/>
          <w:szCs w:val="22"/>
        </w:rPr>
        <w:t xml:space="preserve">is </w:t>
      </w:r>
      <w:r w:rsidR="00C82E7C" w:rsidRPr="001D52A0">
        <w:rPr>
          <w:rFonts w:asciiTheme="minorHAnsi" w:hAnsiTheme="minorHAnsi" w:cs="Arial"/>
          <w:sz w:val="22"/>
          <w:szCs w:val="22"/>
        </w:rPr>
        <w:t>£</w:t>
      </w:r>
      <w:r w:rsidR="00C75DFB" w:rsidRPr="001D52A0">
        <w:rPr>
          <w:rFonts w:asciiTheme="minorHAnsi" w:hAnsiTheme="minorHAnsi" w:cs="Arial"/>
          <w:sz w:val="22"/>
          <w:szCs w:val="22"/>
        </w:rPr>
        <w:t>26.0</w:t>
      </w:r>
      <w:r w:rsidR="00661FE3" w:rsidRPr="001D52A0">
        <w:rPr>
          <w:rFonts w:asciiTheme="minorHAnsi" w:hAnsiTheme="minorHAnsi" w:cs="Arial"/>
          <w:sz w:val="22"/>
          <w:szCs w:val="22"/>
        </w:rPr>
        <w:t xml:space="preserve"> </w:t>
      </w:r>
      <w:r w:rsidR="002B27A2" w:rsidRPr="001D52A0">
        <w:rPr>
          <w:rFonts w:asciiTheme="minorHAnsi" w:hAnsiTheme="minorHAnsi" w:cs="Arial"/>
          <w:sz w:val="22"/>
          <w:szCs w:val="22"/>
        </w:rPr>
        <w:t xml:space="preserve">million </w:t>
      </w:r>
      <w:r w:rsidR="00791DD4" w:rsidRPr="001D52A0">
        <w:rPr>
          <w:rFonts w:asciiTheme="minorHAnsi" w:hAnsiTheme="minorHAnsi" w:cs="Arial"/>
          <w:sz w:val="22"/>
          <w:szCs w:val="22"/>
        </w:rPr>
        <w:t>and relate</w:t>
      </w:r>
      <w:r w:rsidR="00CD796E" w:rsidRPr="001D52A0">
        <w:rPr>
          <w:rFonts w:asciiTheme="minorHAnsi" w:hAnsiTheme="minorHAnsi" w:cs="Arial"/>
          <w:sz w:val="22"/>
          <w:szCs w:val="22"/>
        </w:rPr>
        <w:t>s</w:t>
      </w:r>
      <w:r w:rsidR="00791DD4" w:rsidRPr="001D52A0">
        <w:rPr>
          <w:rFonts w:asciiTheme="minorHAnsi" w:hAnsiTheme="minorHAnsi" w:cs="Arial"/>
          <w:sz w:val="22"/>
          <w:szCs w:val="22"/>
        </w:rPr>
        <w:t xml:space="preserve"> to </w:t>
      </w:r>
      <w:r w:rsidR="00E2366A" w:rsidRPr="001D52A0">
        <w:rPr>
          <w:rFonts w:asciiTheme="minorHAnsi" w:hAnsiTheme="minorHAnsi" w:cs="Arial"/>
          <w:sz w:val="22"/>
          <w:szCs w:val="22"/>
        </w:rPr>
        <w:t xml:space="preserve">the </w:t>
      </w:r>
      <w:r w:rsidR="00791DD4" w:rsidRPr="001D52A0">
        <w:rPr>
          <w:rFonts w:asciiTheme="minorHAnsi" w:hAnsiTheme="minorHAnsi" w:cs="Arial"/>
          <w:sz w:val="22"/>
          <w:szCs w:val="22"/>
        </w:rPr>
        <w:t xml:space="preserve">immediate risks relevant to </w:t>
      </w:r>
      <w:r w:rsidR="00661FE3" w:rsidRPr="001D52A0">
        <w:rPr>
          <w:rFonts w:asciiTheme="minorHAnsi" w:hAnsiTheme="minorHAnsi" w:cs="Arial"/>
          <w:sz w:val="22"/>
          <w:szCs w:val="22"/>
        </w:rPr>
        <w:t>the financial</w:t>
      </w:r>
      <w:r w:rsidR="00791DD4" w:rsidRPr="001D52A0">
        <w:rPr>
          <w:rFonts w:asciiTheme="minorHAnsi" w:hAnsiTheme="minorHAnsi" w:cs="Arial"/>
          <w:sz w:val="22"/>
          <w:szCs w:val="22"/>
        </w:rPr>
        <w:t xml:space="preserve"> year’s activities. This </w:t>
      </w:r>
      <w:r w:rsidR="0054005D" w:rsidRPr="001D52A0">
        <w:rPr>
          <w:rFonts w:asciiTheme="minorHAnsi" w:hAnsiTheme="minorHAnsi" w:cs="Arial"/>
          <w:sz w:val="22"/>
          <w:szCs w:val="22"/>
        </w:rPr>
        <w:t>compares to £</w:t>
      </w:r>
      <w:r w:rsidR="002511A9" w:rsidRPr="001D52A0">
        <w:rPr>
          <w:rFonts w:asciiTheme="minorHAnsi" w:hAnsiTheme="minorHAnsi" w:cs="Arial"/>
          <w:sz w:val="22"/>
          <w:szCs w:val="22"/>
        </w:rPr>
        <w:t>10.3</w:t>
      </w:r>
      <w:r w:rsidR="0054005D" w:rsidRPr="001D52A0">
        <w:rPr>
          <w:rFonts w:asciiTheme="minorHAnsi" w:hAnsiTheme="minorHAnsi" w:cs="Arial"/>
          <w:sz w:val="22"/>
          <w:szCs w:val="22"/>
        </w:rPr>
        <w:t xml:space="preserve"> million </w:t>
      </w:r>
      <w:r w:rsidR="00791DD4" w:rsidRPr="001D52A0">
        <w:rPr>
          <w:rFonts w:asciiTheme="minorHAnsi" w:hAnsiTheme="minorHAnsi" w:cs="Arial"/>
          <w:sz w:val="22"/>
          <w:szCs w:val="22"/>
        </w:rPr>
        <w:t xml:space="preserve">of risks </w:t>
      </w:r>
      <w:r w:rsidR="0054005D" w:rsidRPr="001D52A0">
        <w:rPr>
          <w:rFonts w:asciiTheme="minorHAnsi" w:hAnsiTheme="minorHAnsi" w:cs="Arial"/>
          <w:sz w:val="22"/>
          <w:szCs w:val="22"/>
        </w:rPr>
        <w:t>in 20</w:t>
      </w:r>
      <w:r w:rsidR="00DB2B5F" w:rsidRPr="001D52A0">
        <w:rPr>
          <w:rFonts w:asciiTheme="minorHAnsi" w:hAnsiTheme="minorHAnsi" w:cs="Arial"/>
          <w:sz w:val="22"/>
          <w:szCs w:val="22"/>
        </w:rPr>
        <w:t>2</w:t>
      </w:r>
      <w:r w:rsidR="009B0D24" w:rsidRPr="001D52A0">
        <w:rPr>
          <w:rFonts w:asciiTheme="minorHAnsi" w:hAnsiTheme="minorHAnsi" w:cs="Arial"/>
          <w:sz w:val="22"/>
          <w:szCs w:val="22"/>
        </w:rPr>
        <w:t>2</w:t>
      </w:r>
      <w:r w:rsidR="0054005D" w:rsidRPr="001D52A0">
        <w:rPr>
          <w:rFonts w:asciiTheme="minorHAnsi" w:hAnsiTheme="minorHAnsi" w:cs="Arial"/>
          <w:sz w:val="22"/>
          <w:szCs w:val="22"/>
        </w:rPr>
        <w:t>/</w:t>
      </w:r>
      <w:r w:rsidR="00781532" w:rsidRPr="001D52A0">
        <w:rPr>
          <w:rFonts w:asciiTheme="minorHAnsi" w:hAnsiTheme="minorHAnsi" w:cs="Arial"/>
          <w:sz w:val="22"/>
          <w:szCs w:val="22"/>
        </w:rPr>
        <w:t>2</w:t>
      </w:r>
      <w:r w:rsidR="009B0D24" w:rsidRPr="001D52A0">
        <w:rPr>
          <w:rFonts w:asciiTheme="minorHAnsi" w:hAnsiTheme="minorHAnsi" w:cs="Arial"/>
          <w:sz w:val="22"/>
          <w:szCs w:val="22"/>
        </w:rPr>
        <w:t>3</w:t>
      </w:r>
      <w:r w:rsidR="00414A52" w:rsidRPr="001D52A0">
        <w:rPr>
          <w:rFonts w:asciiTheme="minorHAnsi" w:hAnsiTheme="minorHAnsi" w:cs="Arial"/>
          <w:sz w:val="22"/>
          <w:szCs w:val="22"/>
        </w:rPr>
        <w:t xml:space="preserve">. </w:t>
      </w:r>
      <w:r w:rsidR="00791DD4" w:rsidRPr="001D52A0">
        <w:rPr>
          <w:rFonts w:asciiTheme="minorHAnsi" w:hAnsiTheme="minorHAnsi" w:cs="Arial"/>
          <w:sz w:val="22"/>
          <w:szCs w:val="22"/>
        </w:rPr>
        <w:t xml:space="preserve">The main changes relate </w:t>
      </w:r>
      <w:r w:rsidR="00A34E44" w:rsidRPr="001D52A0">
        <w:rPr>
          <w:rFonts w:asciiTheme="minorHAnsi" w:hAnsiTheme="minorHAnsi" w:cs="Arial"/>
          <w:sz w:val="22"/>
          <w:szCs w:val="22"/>
        </w:rPr>
        <w:t xml:space="preserve"> to reserves set aside to cover self-insuring the Authority should we not have any appetite from the insurance market.  We have also set aside the PPP income retained by the Authority to cover waste minimisation and circular economy activities, </w:t>
      </w:r>
      <w:r w:rsidR="009D2B45" w:rsidRPr="001D52A0">
        <w:rPr>
          <w:rFonts w:asciiTheme="minorHAnsi" w:hAnsiTheme="minorHAnsi" w:cs="Arial"/>
          <w:sz w:val="22"/>
          <w:szCs w:val="22"/>
        </w:rPr>
        <w:t>and</w:t>
      </w:r>
      <w:r w:rsidR="00A34E44" w:rsidRPr="001D52A0">
        <w:rPr>
          <w:rFonts w:asciiTheme="minorHAnsi" w:hAnsiTheme="minorHAnsi" w:cs="Arial"/>
          <w:sz w:val="22"/>
          <w:szCs w:val="22"/>
        </w:rPr>
        <w:t xml:space="preserve"> set aside reserves to cover the volatility of the Emissions Trading Scheme and the fluctuations the waste industry could face.</w:t>
      </w:r>
    </w:p>
    <w:p w14:paraId="6575F134" w14:textId="74051CEA" w:rsidR="00451B66" w:rsidRPr="001D52A0" w:rsidRDefault="00451B66" w:rsidP="004E4209">
      <w:pPr>
        <w:numPr>
          <w:ilvl w:val="1"/>
          <w:numId w:val="24"/>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 xml:space="preserve">Insurance within the waste industry has become extremely challenging due to the nature of the business, and the general insurance market are not too keen.  </w:t>
      </w:r>
      <w:r w:rsidR="00AF32C4" w:rsidRPr="001D52A0">
        <w:rPr>
          <w:rFonts w:asciiTheme="minorHAnsi" w:hAnsiTheme="minorHAnsi" w:cs="Arial"/>
          <w:sz w:val="22"/>
          <w:szCs w:val="22"/>
        </w:rPr>
        <w:t>The complexity of insurers not being forthcoming in the market is explained in section 9.</w:t>
      </w:r>
      <w:r w:rsidR="007E152F" w:rsidRPr="001D52A0">
        <w:rPr>
          <w:rFonts w:asciiTheme="minorHAnsi" w:hAnsiTheme="minorHAnsi" w:cs="Arial"/>
          <w:sz w:val="22"/>
          <w:szCs w:val="22"/>
        </w:rPr>
        <w:t xml:space="preserve">  Should the Authority self-insure, the revenue benefit to boroughs recognised will be £165,000.</w:t>
      </w:r>
    </w:p>
    <w:p w14:paraId="7DD13380" w14:textId="7FEB3F02" w:rsidR="003410E8" w:rsidRPr="001D52A0" w:rsidRDefault="003410E8" w:rsidP="00AE1627">
      <w:pPr>
        <w:numPr>
          <w:ilvl w:val="1"/>
          <w:numId w:val="24"/>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The PPP income retained by WLWA is to be used for waste minimisation and circular economy activities.  These have been designed to mitigate against increase in costs that will affect the six boroughs in the near future (i.e. Emissions Trading Scheme</w:t>
      </w:r>
      <w:r w:rsidR="00C03B52" w:rsidRPr="001D52A0">
        <w:rPr>
          <w:rFonts w:asciiTheme="minorHAnsi" w:hAnsiTheme="minorHAnsi" w:cs="Arial"/>
          <w:sz w:val="22"/>
          <w:szCs w:val="22"/>
        </w:rPr>
        <w:t xml:space="preserve"> (ETS)</w:t>
      </w:r>
      <w:r w:rsidRPr="001D52A0">
        <w:rPr>
          <w:rFonts w:asciiTheme="minorHAnsi" w:hAnsiTheme="minorHAnsi" w:cs="Arial"/>
          <w:sz w:val="22"/>
          <w:szCs w:val="22"/>
        </w:rPr>
        <w:t xml:space="preserve">).  </w:t>
      </w:r>
      <w:r w:rsidR="00AE1627" w:rsidRPr="001D52A0">
        <w:rPr>
          <w:rFonts w:asciiTheme="minorHAnsi" w:hAnsiTheme="minorHAnsi" w:cs="Arial"/>
          <w:sz w:val="22"/>
          <w:szCs w:val="22"/>
        </w:rPr>
        <w:t>Should boroughs not engage in the programmes and residual waste does not decrease, the income retained will need to be built up to support against large penalties and increase in levies that the Authority and boroughs could face.  These reserves needs to be set aside by either the Authority or boroughs and the income from the PPP contract needs to be ring fenced against this.</w:t>
      </w:r>
    </w:p>
    <w:p w14:paraId="1D149DE9" w14:textId="01D14D38" w:rsidR="001B59BE" w:rsidRPr="001D52A0" w:rsidRDefault="003410E8" w:rsidP="001B59BE">
      <w:pPr>
        <w:numPr>
          <w:ilvl w:val="1"/>
          <w:numId w:val="24"/>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E</w:t>
      </w:r>
      <w:r w:rsidR="00C03B52" w:rsidRPr="001D52A0">
        <w:rPr>
          <w:rFonts w:asciiTheme="minorHAnsi" w:hAnsiTheme="minorHAnsi" w:cs="Arial"/>
          <w:sz w:val="22"/>
          <w:szCs w:val="22"/>
        </w:rPr>
        <w:t xml:space="preserve">missions </w:t>
      </w:r>
      <w:r w:rsidRPr="001D52A0">
        <w:rPr>
          <w:rFonts w:asciiTheme="minorHAnsi" w:hAnsiTheme="minorHAnsi" w:cs="Arial"/>
          <w:sz w:val="22"/>
          <w:szCs w:val="22"/>
        </w:rPr>
        <w:t>T</w:t>
      </w:r>
      <w:r w:rsidR="00C03B52" w:rsidRPr="001D52A0">
        <w:rPr>
          <w:rFonts w:asciiTheme="minorHAnsi" w:hAnsiTheme="minorHAnsi" w:cs="Arial"/>
          <w:sz w:val="22"/>
          <w:szCs w:val="22"/>
        </w:rPr>
        <w:t xml:space="preserve">rading </w:t>
      </w:r>
      <w:r w:rsidRPr="001D52A0">
        <w:rPr>
          <w:rFonts w:asciiTheme="minorHAnsi" w:hAnsiTheme="minorHAnsi" w:cs="Arial"/>
          <w:sz w:val="22"/>
          <w:szCs w:val="22"/>
        </w:rPr>
        <w:t>S</w:t>
      </w:r>
      <w:r w:rsidR="00C03B52" w:rsidRPr="001D52A0">
        <w:rPr>
          <w:rFonts w:asciiTheme="minorHAnsi" w:hAnsiTheme="minorHAnsi" w:cs="Arial"/>
          <w:sz w:val="22"/>
          <w:szCs w:val="22"/>
        </w:rPr>
        <w:t>cheme</w:t>
      </w:r>
      <w:r w:rsidR="000D0E15" w:rsidRPr="001D52A0">
        <w:rPr>
          <w:rFonts w:asciiTheme="minorHAnsi" w:hAnsiTheme="minorHAnsi" w:cs="Arial"/>
          <w:sz w:val="22"/>
          <w:szCs w:val="22"/>
        </w:rPr>
        <w:t xml:space="preserve"> will be brought in to cover waste plants from 2028 and will levy an additional cost of c.</w:t>
      </w:r>
      <w:r w:rsidR="00562158" w:rsidRPr="001D52A0">
        <w:rPr>
          <w:rFonts w:asciiTheme="minorHAnsi" w:hAnsiTheme="minorHAnsi" w:cs="Arial"/>
          <w:sz w:val="22"/>
          <w:szCs w:val="22"/>
        </w:rPr>
        <w:t>£</w:t>
      </w:r>
      <w:r w:rsidR="00EE2CFA" w:rsidRPr="001D52A0">
        <w:rPr>
          <w:rFonts w:asciiTheme="minorHAnsi" w:hAnsiTheme="minorHAnsi" w:cs="Arial"/>
          <w:sz w:val="22"/>
          <w:szCs w:val="22"/>
        </w:rPr>
        <w:t xml:space="preserve">18 million </w:t>
      </w:r>
      <w:r w:rsidR="00562158" w:rsidRPr="001D52A0">
        <w:rPr>
          <w:rFonts w:asciiTheme="minorHAnsi" w:hAnsiTheme="minorHAnsi" w:cs="Arial"/>
          <w:sz w:val="22"/>
          <w:szCs w:val="22"/>
        </w:rPr>
        <w:t>per annum</w:t>
      </w:r>
      <w:r w:rsidR="000D0E15" w:rsidRPr="001D52A0">
        <w:rPr>
          <w:rFonts w:asciiTheme="minorHAnsi" w:hAnsiTheme="minorHAnsi" w:cs="Arial"/>
          <w:sz w:val="22"/>
          <w:szCs w:val="22"/>
        </w:rPr>
        <w:t xml:space="preserve"> at the current</w:t>
      </w:r>
      <w:r w:rsidR="00562158" w:rsidRPr="001D52A0">
        <w:rPr>
          <w:rFonts w:asciiTheme="minorHAnsi" w:hAnsiTheme="minorHAnsi" w:cs="Arial"/>
          <w:sz w:val="22"/>
          <w:szCs w:val="22"/>
        </w:rPr>
        <w:t xml:space="preserve"> volume and</w:t>
      </w:r>
      <w:r w:rsidR="000D0E15" w:rsidRPr="001D52A0">
        <w:rPr>
          <w:rFonts w:asciiTheme="minorHAnsi" w:hAnsiTheme="minorHAnsi" w:cs="Arial"/>
          <w:sz w:val="22"/>
          <w:szCs w:val="22"/>
        </w:rPr>
        <w:t xml:space="preserve"> composition.</w:t>
      </w:r>
      <w:r w:rsidRPr="001D52A0">
        <w:rPr>
          <w:rFonts w:asciiTheme="minorHAnsi" w:hAnsiTheme="minorHAnsi" w:cs="Arial"/>
          <w:sz w:val="22"/>
          <w:szCs w:val="22"/>
        </w:rPr>
        <w:t xml:space="preserve"> </w:t>
      </w:r>
      <w:r w:rsidR="000D0E15" w:rsidRPr="001D52A0">
        <w:rPr>
          <w:rFonts w:asciiTheme="minorHAnsi" w:hAnsiTheme="minorHAnsi" w:cs="Arial"/>
          <w:sz w:val="22"/>
          <w:szCs w:val="22"/>
        </w:rPr>
        <w:t xml:space="preserve">The </w:t>
      </w:r>
      <w:r w:rsidRPr="001D52A0">
        <w:rPr>
          <w:rFonts w:asciiTheme="minorHAnsi" w:hAnsiTheme="minorHAnsi" w:cs="Arial"/>
          <w:sz w:val="22"/>
          <w:szCs w:val="22"/>
        </w:rPr>
        <w:t>capture</w:t>
      </w:r>
      <w:r w:rsidR="000D0E15" w:rsidRPr="001D52A0">
        <w:rPr>
          <w:rFonts w:asciiTheme="minorHAnsi" w:hAnsiTheme="minorHAnsi" w:cs="Arial"/>
          <w:sz w:val="22"/>
          <w:szCs w:val="22"/>
        </w:rPr>
        <w:t xml:space="preserve"> services and waste</w:t>
      </w:r>
      <w:r w:rsidRPr="001D52A0">
        <w:rPr>
          <w:rFonts w:asciiTheme="minorHAnsi" w:hAnsiTheme="minorHAnsi" w:cs="Arial"/>
          <w:sz w:val="22"/>
          <w:szCs w:val="22"/>
        </w:rPr>
        <w:t xml:space="preserve"> sites </w:t>
      </w:r>
      <w:r w:rsidR="000D0E15" w:rsidRPr="001D52A0">
        <w:rPr>
          <w:rFonts w:asciiTheme="minorHAnsi" w:hAnsiTheme="minorHAnsi" w:cs="Arial"/>
          <w:sz w:val="22"/>
          <w:szCs w:val="22"/>
        </w:rPr>
        <w:t xml:space="preserve">require </w:t>
      </w:r>
      <w:r w:rsidRPr="001D52A0">
        <w:rPr>
          <w:rFonts w:asciiTheme="minorHAnsi" w:hAnsiTheme="minorHAnsi" w:cs="Arial"/>
          <w:sz w:val="22"/>
          <w:szCs w:val="22"/>
        </w:rPr>
        <w:t>change</w:t>
      </w:r>
      <w:r w:rsidR="000D0E15" w:rsidRPr="001D52A0">
        <w:rPr>
          <w:rFonts w:asciiTheme="minorHAnsi" w:hAnsiTheme="minorHAnsi" w:cs="Arial"/>
          <w:sz w:val="22"/>
          <w:szCs w:val="22"/>
        </w:rPr>
        <w:t>,</w:t>
      </w:r>
      <w:r w:rsidRPr="001D52A0">
        <w:rPr>
          <w:rFonts w:asciiTheme="minorHAnsi" w:hAnsiTheme="minorHAnsi" w:cs="Arial"/>
          <w:sz w:val="22"/>
          <w:szCs w:val="22"/>
        </w:rPr>
        <w:t xml:space="preserve"> our infrastructure is struggling at the moment</w:t>
      </w:r>
      <w:r w:rsidR="000D0E15" w:rsidRPr="001D52A0">
        <w:rPr>
          <w:rFonts w:asciiTheme="minorHAnsi" w:hAnsiTheme="minorHAnsi" w:cs="Arial"/>
          <w:sz w:val="22"/>
          <w:szCs w:val="22"/>
        </w:rPr>
        <w:t xml:space="preserve"> with capacity</w:t>
      </w:r>
      <w:r w:rsidRPr="001D52A0">
        <w:rPr>
          <w:rFonts w:asciiTheme="minorHAnsi" w:hAnsiTheme="minorHAnsi" w:cs="Arial"/>
          <w:sz w:val="22"/>
          <w:szCs w:val="22"/>
        </w:rPr>
        <w:t xml:space="preserve"> </w:t>
      </w:r>
      <w:r w:rsidR="000D0E15" w:rsidRPr="001D52A0">
        <w:rPr>
          <w:rFonts w:asciiTheme="minorHAnsi" w:hAnsiTheme="minorHAnsi" w:cs="Arial"/>
          <w:sz w:val="22"/>
          <w:szCs w:val="22"/>
        </w:rPr>
        <w:t xml:space="preserve">across Borough transfer stations, HRRCs and collection services </w:t>
      </w:r>
      <w:r w:rsidRPr="001D52A0">
        <w:rPr>
          <w:rFonts w:asciiTheme="minorHAnsi" w:hAnsiTheme="minorHAnsi" w:cs="Arial"/>
          <w:sz w:val="22"/>
          <w:szCs w:val="22"/>
        </w:rPr>
        <w:t>(e.g. recycling, residual)</w:t>
      </w:r>
      <w:r w:rsidR="000D0E15" w:rsidRPr="001D52A0">
        <w:rPr>
          <w:rFonts w:asciiTheme="minorHAnsi" w:hAnsiTheme="minorHAnsi" w:cs="Arial"/>
          <w:sz w:val="22"/>
          <w:szCs w:val="22"/>
        </w:rPr>
        <w:t>. M</w:t>
      </w:r>
      <w:r w:rsidRPr="001D52A0">
        <w:rPr>
          <w:rFonts w:asciiTheme="minorHAnsi" w:hAnsiTheme="minorHAnsi" w:cs="Arial"/>
          <w:sz w:val="22"/>
          <w:szCs w:val="22"/>
        </w:rPr>
        <w:t>ore segregation</w:t>
      </w:r>
      <w:r w:rsidR="000D0E15" w:rsidRPr="001D52A0">
        <w:rPr>
          <w:rFonts w:asciiTheme="minorHAnsi" w:hAnsiTheme="minorHAnsi" w:cs="Arial"/>
          <w:sz w:val="22"/>
          <w:szCs w:val="22"/>
        </w:rPr>
        <w:t xml:space="preserve"> of materials and</w:t>
      </w:r>
      <w:r w:rsidRPr="001D52A0">
        <w:rPr>
          <w:rFonts w:asciiTheme="minorHAnsi" w:hAnsiTheme="minorHAnsi" w:cs="Arial"/>
          <w:sz w:val="22"/>
          <w:szCs w:val="22"/>
        </w:rPr>
        <w:t xml:space="preserve"> more sorting</w:t>
      </w:r>
      <w:r w:rsidR="000D0E15" w:rsidRPr="001D52A0">
        <w:rPr>
          <w:rFonts w:asciiTheme="minorHAnsi" w:hAnsiTheme="minorHAnsi" w:cs="Arial"/>
          <w:sz w:val="22"/>
          <w:szCs w:val="22"/>
        </w:rPr>
        <w:t xml:space="preserve"> will be required to extract specific streams within the residual waste such as plastics and textiles</w:t>
      </w:r>
      <w:r w:rsidRPr="001D52A0">
        <w:rPr>
          <w:rFonts w:asciiTheme="minorHAnsi" w:hAnsiTheme="minorHAnsi" w:cs="Arial"/>
          <w:sz w:val="22"/>
          <w:szCs w:val="22"/>
        </w:rPr>
        <w:t xml:space="preserve">.   </w:t>
      </w:r>
      <w:r w:rsidR="000D0E15" w:rsidRPr="001D52A0">
        <w:rPr>
          <w:rFonts w:asciiTheme="minorHAnsi" w:hAnsiTheme="minorHAnsi" w:cs="Arial"/>
          <w:sz w:val="22"/>
          <w:szCs w:val="22"/>
        </w:rPr>
        <w:t xml:space="preserve">The ETS costs will be levied against fossil carbon products such as </w:t>
      </w:r>
      <w:r w:rsidRPr="001D52A0">
        <w:rPr>
          <w:rFonts w:asciiTheme="minorHAnsi" w:hAnsiTheme="minorHAnsi" w:cs="Arial"/>
          <w:sz w:val="22"/>
          <w:szCs w:val="22"/>
        </w:rPr>
        <w:t>soft plastics,</w:t>
      </w:r>
      <w:r w:rsidR="000D0E15" w:rsidRPr="001D52A0">
        <w:rPr>
          <w:rFonts w:asciiTheme="minorHAnsi" w:hAnsiTheme="minorHAnsi" w:cs="Arial"/>
          <w:sz w:val="22"/>
          <w:szCs w:val="22"/>
        </w:rPr>
        <w:t xml:space="preserve"> textiles and e-waste, our</w:t>
      </w:r>
      <w:r w:rsidRPr="001D52A0">
        <w:rPr>
          <w:rFonts w:asciiTheme="minorHAnsi" w:hAnsiTheme="minorHAnsi" w:cs="Arial"/>
          <w:sz w:val="22"/>
          <w:szCs w:val="22"/>
        </w:rPr>
        <w:t xml:space="preserve"> ability to segregate fossil based plastic</w:t>
      </w:r>
      <w:r w:rsidR="000D0E15" w:rsidRPr="001D52A0">
        <w:rPr>
          <w:rFonts w:asciiTheme="minorHAnsi" w:hAnsiTheme="minorHAnsi" w:cs="Arial"/>
          <w:sz w:val="22"/>
          <w:szCs w:val="22"/>
        </w:rPr>
        <w:t xml:space="preserve"> is currently only through resident engagement</w:t>
      </w:r>
      <w:r w:rsidRPr="001D52A0">
        <w:rPr>
          <w:rFonts w:asciiTheme="minorHAnsi" w:hAnsiTheme="minorHAnsi" w:cs="Arial"/>
          <w:sz w:val="22"/>
          <w:szCs w:val="22"/>
        </w:rPr>
        <w:t xml:space="preserve">. </w:t>
      </w:r>
      <w:r w:rsidR="000D0E15" w:rsidRPr="001D52A0">
        <w:rPr>
          <w:rFonts w:asciiTheme="minorHAnsi" w:hAnsiTheme="minorHAnsi" w:cs="Arial"/>
          <w:sz w:val="22"/>
          <w:szCs w:val="22"/>
        </w:rPr>
        <w:t xml:space="preserve">To mitigate the potential impact and ensure </w:t>
      </w:r>
      <w:r w:rsidR="000D0E15" w:rsidRPr="001D52A0">
        <w:rPr>
          <w:rFonts w:asciiTheme="minorHAnsi" w:hAnsiTheme="minorHAnsi" w:cs="Arial"/>
          <w:sz w:val="22"/>
          <w:szCs w:val="22"/>
        </w:rPr>
        <w:lastRenderedPageBreak/>
        <w:t>we have the requisite capacity we need to design and i</w:t>
      </w:r>
      <w:r w:rsidRPr="001D52A0">
        <w:rPr>
          <w:rFonts w:asciiTheme="minorHAnsi" w:hAnsiTheme="minorHAnsi" w:cs="Arial"/>
          <w:sz w:val="22"/>
          <w:szCs w:val="22"/>
        </w:rPr>
        <w:t>nvest in infrastructure to segregate</w:t>
      </w:r>
      <w:r w:rsidR="000D0E15" w:rsidRPr="001D52A0">
        <w:rPr>
          <w:rFonts w:asciiTheme="minorHAnsi" w:hAnsiTheme="minorHAnsi" w:cs="Arial"/>
          <w:sz w:val="22"/>
          <w:szCs w:val="22"/>
        </w:rPr>
        <w:t xml:space="preserve"> effectively in new facilities capable of sorting material and retaining value locally where possible.</w:t>
      </w:r>
      <w:r w:rsidRPr="001D52A0">
        <w:rPr>
          <w:rFonts w:asciiTheme="minorHAnsi" w:hAnsiTheme="minorHAnsi" w:cs="Arial"/>
          <w:sz w:val="22"/>
          <w:szCs w:val="22"/>
        </w:rPr>
        <w:t xml:space="preserve"> </w:t>
      </w:r>
      <w:r w:rsidR="000D0E15" w:rsidRPr="001D52A0">
        <w:rPr>
          <w:rFonts w:asciiTheme="minorHAnsi" w:hAnsiTheme="minorHAnsi" w:cs="Arial"/>
          <w:sz w:val="22"/>
          <w:szCs w:val="22"/>
        </w:rPr>
        <w:t>If we don’t develop our infrastructure</w:t>
      </w:r>
      <w:r w:rsidR="001B59BE" w:rsidRPr="001D52A0">
        <w:rPr>
          <w:rFonts w:asciiTheme="minorHAnsi" w:hAnsiTheme="minorHAnsi" w:cs="Arial"/>
          <w:sz w:val="22"/>
          <w:szCs w:val="22"/>
        </w:rPr>
        <w:t>,</w:t>
      </w:r>
      <w:r w:rsidR="000D0E15" w:rsidRPr="001D52A0">
        <w:rPr>
          <w:rFonts w:asciiTheme="minorHAnsi" w:hAnsiTheme="minorHAnsi" w:cs="Arial"/>
          <w:sz w:val="22"/>
          <w:szCs w:val="22"/>
        </w:rPr>
        <w:t xml:space="preserve"> the additional m</w:t>
      </w:r>
      <w:r w:rsidRPr="001D52A0">
        <w:rPr>
          <w:rFonts w:asciiTheme="minorHAnsi" w:hAnsiTheme="minorHAnsi" w:cs="Arial"/>
          <w:sz w:val="22"/>
          <w:szCs w:val="22"/>
        </w:rPr>
        <w:t xml:space="preserve">oney </w:t>
      </w:r>
      <w:r w:rsidR="000D0E15" w:rsidRPr="001D52A0">
        <w:rPr>
          <w:rFonts w:asciiTheme="minorHAnsi" w:hAnsiTheme="minorHAnsi" w:cs="Arial"/>
          <w:sz w:val="22"/>
          <w:szCs w:val="22"/>
        </w:rPr>
        <w:t>will simply go to funding</w:t>
      </w:r>
      <w:r w:rsidRPr="001D52A0">
        <w:rPr>
          <w:rFonts w:asciiTheme="minorHAnsi" w:hAnsiTheme="minorHAnsi" w:cs="Arial"/>
          <w:sz w:val="22"/>
          <w:szCs w:val="22"/>
        </w:rPr>
        <w:t xml:space="preserve"> </w:t>
      </w:r>
      <w:r w:rsidR="000D0E15" w:rsidRPr="001D52A0">
        <w:rPr>
          <w:rFonts w:asciiTheme="minorHAnsi" w:hAnsiTheme="minorHAnsi" w:cs="Arial"/>
          <w:sz w:val="22"/>
          <w:szCs w:val="22"/>
        </w:rPr>
        <w:t>penalties not creating a solution</w:t>
      </w:r>
      <w:r w:rsidRPr="001D52A0">
        <w:rPr>
          <w:rFonts w:asciiTheme="minorHAnsi" w:hAnsiTheme="minorHAnsi" w:cs="Arial"/>
          <w:sz w:val="22"/>
          <w:szCs w:val="22"/>
        </w:rPr>
        <w:t>.</w:t>
      </w:r>
    </w:p>
    <w:p w14:paraId="7C823F2A" w14:textId="1BF74CAA" w:rsidR="000D0E15" w:rsidRPr="001D52A0" w:rsidRDefault="000D0E15" w:rsidP="003410E8">
      <w:pPr>
        <w:numPr>
          <w:ilvl w:val="1"/>
          <w:numId w:val="24"/>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 xml:space="preserve">Further opportunities </w:t>
      </w:r>
      <w:r w:rsidR="00E9142C" w:rsidRPr="001D52A0">
        <w:rPr>
          <w:rFonts w:asciiTheme="minorHAnsi" w:hAnsiTheme="minorHAnsi" w:cs="Arial"/>
          <w:sz w:val="22"/>
          <w:szCs w:val="22"/>
        </w:rPr>
        <w:t xml:space="preserve">will be </w:t>
      </w:r>
      <w:r w:rsidR="00FB0505" w:rsidRPr="001D52A0">
        <w:rPr>
          <w:rFonts w:asciiTheme="minorHAnsi" w:hAnsiTheme="minorHAnsi" w:cs="Arial"/>
          <w:sz w:val="22"/>
          <w:szCs w:val="22"/>
        </w:rPr>
        <w:t>identified</w:t>
      </w:r>
      <w:r w:rsidR="00707AC2" w:rsidRPr="001D52A0">
        <w:rPr>
          <w:rFonts w:asciiTheme="minorHAnsi" w:hAnsiTheme="minorHAnsi" w:cs="Arial"/>
          <w:sz w:val="22"/>
          <w:szCs w:val="22"/>
        </w:rPr>
        <w:t xml:space="preserve"> to invest in local infrastructure to develop greater service resilience, reduce costs and create local jobs. The wider development of treatment, sorting</w:t>
      </w:r>
      <w:r w:rsidR="00FB0505" w:rsidRPr="001D52A0">
        <w:rPr>
          <w:rFonts w:asciiTheme="minorHAnsi" w:hAnsiTheme="minorHAnsi" w:cs="Arial"/>
          <w:sz w:val="22"/>
          <w:szCs w:val="22"/>
        </w:rPr>
        <w:t>, repair</w:t>
      </w:r>
      <w:r w:rsidR="00707AC2" w:rsidRPr="001D52A0">
        <w:rPr>
          <w:rFonts w:asciiTheme="minorHAnsi" w:hAnsiTheme="minorHAnsi" w:cs="Arial"/>
          <w:sz w:val="22"/>
          <w:szCs w:val="22"/>
        </w:rPr>
        <w:t xml:space="preserve"> and handling capacity will help the creation of a circular economy</w:t>
      </w:r>
      <w:r w:rsidR="00FB0505" w:rsidRPr="001D52A0">
        <w:rPr>
          <w:rFonts w:asciiTheme="minorHAnsi" w:hAnsiTheme="minorHAnsi" w:cs="Arial"/>
          <w:sz w:val="22"/>
          <w:szCs w:val="22"/>
        </w:rPr>
        <w:t xml:space="preserve"> with</w:t>
      </w:r>
      <w:r w:rsidR="00707AC2" w:rsidRPr="001D52A0">
        <w:rPr>
          <w:rFonts w:asciiTheme="minorHAnsi" w:hAnsiTheme="minorHAnsi" w:cs="Arial"/>
          <w:sz w:val="22"/>
          <w:szCs w:val="22"/>
        </w:rPr>
        <w:t xml:space="preserve"> </w:t>
      </w:r>
      <w:r w:rsidR="00FB0505" w:rsidRPr="001D52A0">
        <w:rPr>
          <w:rFonts w:asciiTheme="minorHAnsi" w:hAnsiTheme="minorHAnsi" w:cs="Arial"/>
          <w:sz w:val="22"/>
          <w:szCs w:val="22"/>
        </w:rPr>
        <w:t xml:space="preserve">improved </w:t>
      </w:r>
      <w:r w:rsidR="00707AC2" w:rsidRPr="001D52A0">
        <w:rPr>
          <w:rFonts w:asciiTheme="minorHAnsi" w:hAnsiTheme="minorHAnsi" w:cs="Arial"/>
          <w:sz w:val="22"/>
          <w:szCs w:val="22"/>
        </w:rPr>
        <w:t>region</w:t>
      </w:r>
      <w:r w:rsidR="00FB0505" w:rsidRPr="001D52A0">
        <w:rPr>
          <w:rFonts w:asciiTheme="minorHAnsi" w:hAnsiTheme="minorHAnsi" w:cs="Arial"/>
          <w:sz w:val="22"/>
          <w:szCs w:val="22"/>
        </w:rPr>
        <w:t>al</w:t>
      </w:r>
      <w:r w:rsidR="00707AC2" w:rsidRPr="001D52A0">
        <w:rPr>
          <w:rFonts w:asciiTheme="minorHAnsi" w:hAnsiTheme="minorHAnsi" w:cs="Arial"/>
          <w:sz w:val="22"/>
          <w:szCs w:val="22"/>
        </w:rPr>
        <w:t xml:space="preserve"> resource and value retention. </w:t>
      </w:r>
    </w:p>
    <w:p w14:paraId="56E8761B" w14:textId="5AFD1CB2" w:rsidR="003410E8" w:rsidRDefault="001B59BE" w:rsidP="003410E8">
      <w:pPr>
        <w:numPr>
          <w:ilvl w:val="1"/>
          <w:numId w:val="24"/>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 xml:space="preserve">There is also a risk associated with residual waste not decreasing and this could see the charge from the Emissions Trading Scheme fluctuate considerably.  Early commentary is stating that this charge could vary by £10 million each year dependent </w:t>
      </w:r>
      <w:r w:rsidR="002F6164" w:rsidRPr="001D52A0">
        <w:rPr>
          <w:rFonts w:asciiTheme="minorHAnsi" w:hAnsiTheme="minorHAnsi" w:cs="Arial"/>
          <w:sz w:val="22"/>
          <w:szCs w:val="22"/>
        </w:rPr>
        <w:t>on the</w:t>
      </w:r>
      <w:r w:rsidRPr="001D52A0">
        <w:rPr>
          <w:rFonts w:asciiTheme="minorHAnsi" w:hAnsiTheme="minorHAnsi" w:cs="Arial"/>
          <w:sz w:val="22"/>
          <w:szCs w:val="22"/>
        </w:rPr>
        <w:t xml:space="preserve"> carbon </w:t>
      </w:r>
      <w:r w:rsidR="002F6164" w:rsidRPr="001D52A0">
        <w:rPr>
          <w:rFonts w:asciiTheme="minorHAnsi" w:hAnsiTheme="minorHAnsi" w:cs="Arial"/>
          <w:sz w:val="22"/>
          <w:szCs w:val="22"/>
        </w:rPr>
        <w:t>tax</w:t>
      </w:r>
      <w:r w:rsidRPr="001D52A0">
        <w:rPr>
          <w:rFonts w:asciiTheme="minorHAnsi" w:hAnsiTheme="minorHAnsi" w:cs="Arial"/>
          <w:sz w:val="22"/>
          <w:szCs w:val="22"/>
        </w:rPr>
        <w:t>.  The Authority has set aside sums to build up should fossil carbon in residual not decrease.</w:t>
      </w:r>
      <w:r w:rsidR="002F6164" w:rsidRPr="001D52A0">
        <w:rPr>
          <w:rFonts w:asciiTheme="minorHAnsi" w:hAnsiTheme="minorHAnsi" w:cs="Arial"/>
          <w:sz w:val="22"/>
          <w:szCs w:val="22"/>
        </w:rPr>
        <w:t xml:space="preserve">   </w:t>
      </w:r>
    </w:p>
    <w:p w14:paraId="1DA5DB9D" w14:textId="23A92740" w:rsidR="00775099" w:rsidRPr="001D52A0" w:rsidRDefault="00A17068" w:rsidP="004E4209">
      <w:pPr>
        <w:numPr>
          <w:ilvl w:val="1"/>
          <w:numId w:val="24"/>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Ultimately, the level of reserves is a judgment based on the nature of risk facing an organisation and its risk appetite. On th</w:t>
      </w:r>
      <w:r w:rsidR="00E3035D" w:rsidRPr="001D52A0">
        <w:rPr>
          <w:rFonts w:asciiTheme="minorHAnsi" w:hAnsiTheme="minorHAnsi" w:cs="Arial"/>
          <w:sz w:val="22"/>
          <w:szCs w:val="22"/>
        </w:rPr>
        <w:t xml:space="preserve">e </w:t>
      </w:r>
      <w:r w:rsidRPr="001D52A0">
        <w:rPr>
          <w:rFonts w:asciiTheme="minorHAnsi" w:hAnsiTheme="minorHAnsi" w:cs="Arial"/>
          <w:sz w:val="22"/>
          <w:szCs w:val="22"/>
        </w:rPr>
        <w:t>basis</w:t>
      </w:r>
      <w:r w:rsidR="00E3035D" w:rsidRPr="001D52A0">
        <w:rPr>
          <w:rFonts w:asciiTheme="minorHAnsi" w:hAnsiTheme="minorHAnsi" w:cs="Arial"/>
          <w:sz w:val="22"/>
          <w:szCs w:val="22"/>
        </w:rPr>
        <w:t xml:space="preserve"> of the risks identified above and appreciating that there are unknown risks </w:t>
      </w:r>
      <w:r w:rsidR="00A3135D" w:rsidRPr="001D52A0">
        <w:rPr>
          <w:rFonts w:asciiTheme="minorHAnsi" w:hAnsiTheme="minorHAnsi" w:cs="Arial"/>
          <w:sz w:val="22"/>
          <w:szCs w:val="22"/>
        </w:rPr>
        <w:t xml:space="preserve">which </w:t>
      </w:r>
      <w:r w:rsidR="00E3035D" w:rsidRPr="001D52A0">
        <w:rPr>
          <w:rFonts w:asciiTheme="minorHAnsi" w:hAnsiTheme="minorHAnsi" w:cs="Arial"/>
          <w:sz w:val="22"/>
          <w:szCs w:val="22"/>
        </w:rPr>
        <w:t>could materialise</w:t>
      </w:r>
      <w:r w:rsidRPr="001D52A0">
        <w:rPr>
          <w:rFonts w:asciiTheme="minorHAnsi" w:hAnsiTheme="minorHAnsi" w:cs="Arial"/>
          <w:sz w:val="22"/>
          <w:szCs w:val="22"/>
        </w:rPr>
        <w:t xml:space="preserve"> </w:t>
      </w:r>
      <w:r w:rsidR="00791DD4" w:rsidRPr="001D52A0">
        <w:rPr>
          <w:rFonts w:asciiTheme="minorHAnsi" w:hAnsiTheme="minorHAnsi" w:cs="Arial"/>
          <w:sz w:val="22"/>
          <w:szCs w:val="22"/>
        </w:rPr>
        <w:t xml:space="preserve">and that nothing is being set aside for longer term risks, </w:t>
      </w:r>
      <w:r w:rsidR="001B29DD" w:rsidRPr="001D52A0">
        <w:rPr>
          <w:rFonts w:asciiTheme="minorHAnsi" w:hAnsiTheme="minorHAnsi" w:cs="Arial"/>
          <w:sz w:val="22"/>
          <w:szCs w:val="22"/>
        </w:rPr>
        <w:t>the proposed level</w:t>
      </w:r>
      <w:r w:rsidRPr="001D52A0">
        <w:rPr>
          <w:rFonts w:asciiTheme="minorHAnsi" w:hAnsiTheme="minorHAnsi" w:cs="Arial"/>
          <w:sz w:val="22"/>
          <w:szCs w:val="22"/>
        </w:rPr>
        <w:t xml:space="preserve"> represents a prudent </w:t>
      </w:r>
      <w:r w:rsidR="00E3035D" w:rsidRPr="001D52A0">
        <w:rPr>
          <w:rFonts w:asciiTheme="minorHAnsi" w:hAnsiTheme="minorHAnsi" w:cs="Arial"/>
          <w:sz w:val="22"/>
          <w:szCs w:val="22"/>
        </w:rPr>
        <w:t xml:space="preserve">and not overly cautious </w:t>
      </w:r>
      <w:r w:rsidR="00F25834" w:rsidRPr="001D52A0">
        <w:rPr>
          <w:rFonts w:asciiTheme="minorHAnsi" w:hAnsiTheme="minorHAnsi" w:cs="Arial"/>
          <w:sz w:val="22"/>
          <w:szCs w:val="22"/>
        </w:rPr>
        <w:t xml:space="preserve">target for </w:t>
      </w:r>
      <w:r w:rsidRPr="001D52A0">
        <w:rPr>
          <w:rFonts w:asciiTheme="minorHAnsi" w:hAnsiTheme="minorHAnsi" w:cs="Arial"/>
          <w:sz w:val="22"/>
          <w:szCs w:val="22"/>
        </w:rPr>
        <w:t>reserves</w:t>
      </w:r>
      <w:r w:rsidR="00791DD4" w:rsidRPr="001D52A0">
        <w:rPr>
          <w:rFonts w:asciiTheme="minorHAnsi" w:hAnsiTheme="minorHAnsi" w:cs="Arial"/>
          <w:sz w:val="22"/>
          <w:szCs w:val="22"/>
        </w:rPr>
        <w:t xml:space="preserve"> for </w:t>
      </w:r>
      <w:r w:rsidR="002511A9" w:rsidRPr="001D52A0">
        <w:rPr>
          <w:rFonts w:asciiTheme="minorHAnsi" w:hAnsiTheme="minorHAnsi" w:cs="Arial"/>
          <w:sz w:val="22"/>
          <w:szCs w:val="22"/>
        </w:rPr>
        <w:t>2024/25</w:t>
      </w:r>
      <w:r w:rsidR="00791DD4" w:rsidRPr="001D52A0">
        <w:rPr>
          <w:rFonts w:asciiTheme="minorHAnsi" w:hAnsiTheme="minorHAnsi" w:cs="Arial"/>
          <w:sz w:val="22"/>
          <w:szCs w:val="22"/>
        </w:rPr>
        <w:t xml:space="preserve"> activities</w:t>
      </w:r>
      <w:r w:rsidRPr="001D52A0">
        <w:rPr>
          <w:rFonts w:asciiTheme="minorHAnsi" w:hAnsiTheme="minorHAnsi" w:cs="Arial"/>
          <w:sz w:val="22"/>
          <w:szCs w:val="22"/>
        </w:rPr>
        <w:t>.</w:t>
      </w:r>
      <w:r w:rsidR="005632B3" w:rsidRPr="001D52A0">
        <w:rPr>
          <w:rFonts w:asciiTheme="minorHAnsi" w:hAnsiTheme="minorHAnsi" w:cs="Arial"/>
          <w:sz w:val="22"/>
          <w:szCs w:val="22"/>
        </w:rPr>
        <w:t xml:space="preserve"> </w:t>
      </w:r>
    </w:p>
    <w:p w14:paraId="7EE6DF16" w14:textId="1AB2B431" w:rsidR="006013BF" w:rsidRPr="001D52A0" w:rsidRDefault="006013BF" w:rsidP="004E4209">
      <w:pPr>
        <w:numPr>
          <w:ilvl w:val="1"/>
          <w:numId w:val="24"/>
        </w:numPr>
        <w:autoSpaceDE w:val="0"/>
        <w:autoSpaceDN w:val="0"/>
        <w:adjustRightInd w:val="0"/>
        <w:spacing w:before="240" w:after="120"/>
        <w:jc w:val="both"/>
        <w:rPr>
          <w:rFonts w:asciiTheme="minorHAnsi" w:hAnsiTheme="minorHAnsi" w:cs="Arial"/>
          <w:sz w:val="22"/>
          <w:szCs w:val="22"/>
          <w:lang w:eastAsia="en-GB"/>
        </w:rPr>
      </w:pPr>
      <w:r w:rsidRPr="001D52A0">
        <w:rPr>
          <w:rFonts w:asciiTheme="minorHAnsi" w:hAnsiTheme="minorHAnsi" w:cs="Arial"/>
          <w:sz w:val="22"/>
          <w:szCs w:val="22"/>
          <w:lang w:eastAsia="en-GB"/>
        </w:rPr>
        <w:t>The forecast reserve position for the year ending 31 March 20</w:t>
      </w:r>
      <w:r w:rsidR="00626E39" w:rsidRPr="001D52A0">
        <w:rPr>
          <w:rFonts w:asciiTheme="minorHAnsi" w:hAnsiTheme="minorHAnsi" w:cs="Arial"/>
          <w:sz w:val="22"/>
          <w:szCs w:val="22"/>
          <w:lang w:eastAsia="en-GB"/>
        </w:rPr>
        <w:t>2</w:t>
      </w:r>
      <w:r w:rsidR="002511A9" w:rsidRPr="001D52A0">
        <w:rPr>
          <w:rFonts w:asciiTheme="minorHAnsi" w:hAnsiTheme="minorHAnsi" w:cs="Arial"/>
          <w:sz w:val="22"/>
          <w:szCs w:val="22"/>
          <w:lang w:eastAsia="en-GB"/>
        </w:rPr>
        <w:t>5</w:t>
      </w:r>
      <w:r w:rsidRPr="001D52A0">
        <w:rPr>
          <w:rFonts w:asciiTheme="minorHAnsi" w:hAnsiTheme="minorHAnsi" w:cs="Arial"/>
          <w:sz w:val="22"/>
          <w:szCs w:val="22"/>
          <w:lang w:eastAsia="en-GB"/>
        </w:rPr>
        <w:t xml:space="preserve"> is</w:t>
      </w:r>
      <w:r w:rsidR="00063CB8" w:rsidRPr="001D52A0">
        <w:rPr>
          <w:rFonts w:asciiTheme="minorHAnsi" w:hAnsiTheme="minorHAnsi" w:cs="Arial"/>
          <w:sz w:val="22"/>
          <w:szCs w:val="22"/>
          <w:lang w:eastAsia="en-GB"/>
        </w:rPr>
        <w:t>:</w:t>
      </w:r>
    </w:p>
    <w:tbl>
      <w:tblPr>
        <w:tblStyle w:val="TableGrid"/>
        <w:tblW w:w="10321" w:type="dxa"/>
        <w:tblLayout w:type="fixed"/>
        <w:tblLook w:val="04A0" w:firstRow="1" w:lastRow="0" w:firstColumn="1" w:lastColumn="0" w:noHBand="0" w:noVBand="1"/>
      </w:tblPr>
      <w:tblGrid>
        <w:gridCol w:w="6748"/>
        <w:gridCol w:w="1323"/>
        <w:gridCol w:w="1059"/>
        <w:gridCol w:w="1191"/>
      </w:tblGrid>
      <w:tr w:rsidR="00235719" w:rsidRPr="001D52A0" w14:paraId="5CBB152D" w14:textId="77777777" w:rsidTr="003842FA">
        <w:trPr>
          <w:trHeight w:val="296"/>
        </w:trPr>
        <w:tc>
          <w:tcPr>
            <w:tcW w:w="6748" w:type="dxa"/>
            <w:hideMark/>
          </w:tcPr>
          <w:p w14:paraId="5CF409B6" w14:textId="77777777" w:rsidR="007B3507" w:rsidRPr="001D52A0" w:rsidRDefault="007B3507" w:rsidP="007B3507">
            <w:pPr>
              <w:autoSpaceDE w:val="0"/>
              <w:autoSpaceDN w:val="0"/>
              <w:adjustRightInd w:val="0"/>
              <w:jc w:val="both"/>
              <w:rPr>
                <w:rFonts w:asciiTheme="minorHAnsi" w:hAnsiTheme="minorHAnsi" w:cs="Arial"/>
                <w:sz w:val="22"/>
                <w:szCs w:val="22"/>
                <w:lang w:eastAsia="en-GB"/>
              </w:rPr>
            </w:pPr>
            <w:r w:rsidRPr="001D52A0">
              <w:rPr>
                <w:rFonts w:asciiTheme="minorHAnsi" w:hAnsiTheme="minorHAnsi" w:cs="Arial"/>
                <w:sz w:val="22"/>
                <w:szCs w:val="22"/>
                <w:lang w:eastAsia="en-GB"/>
              </w:rPr>
              <w:t> </w:t>
            </w:r>
          </w:p>
        </w:tc>
        <w:tc>
          <w:tcPr>
            <w:tcW w:w="1323" w:type="dxa"/>
            <w:hideMark/>
          </w:tcPr>
          <w:p w14:paraId="19257FDC" w14:textId="77777777" w:rsidR="007B3507" w:rsidRPr="001D52A0" w:rsidRDefault="007B3507" w:rsidP="007B3507">
            <w:pPr>
              <w:autoSpaceDE w:val="0"/>
              <w:autoSpaceDN w:val="0"/>
              <w:adjustRightInd w:val="0"/>
              <w:jc w:val="both"/>
              <w:rPr>
                <w:rFonts w:asciiTheme="minorHAnsi" w:hAnsiTheme="minorHAnsi" w:cs="Arial"/>
                <w:b/>
                <w:bCs/>
                <w:sz w:val="22"/>
                <w:szCs w:val="22"/>
                <w:lang w:eastAsia="en-GB"/>
              </w:rPr>
            </w:pPr>
            <w:r w:rsidRPr="001D52A0">
              <w:rPr>
                <w:rFonts w:asciiTheme="minorHAnsi" w:hAnsiTheme="minorHAnsi" w:cs="Arial"/>
                <w:b/>
                <w:bCs/>
                <w:sz w:val="22"/>
                <w:szCs w:val="22"/>
                <w:lang w:eastAsia="en-GB"/>
              </w:rPr>
              <w:t>Reserves to manage risks £000’s</w:t>
            </w:r>
          </w:p>
        </w:tc>
        <w:tc>
          <w:tcPr>
            <w:tcW w:w="1059" w:type="dxa"/>
            <w:hideMark/>
          </w:tcPr>
          <w:p w14:paraId="4EA6CE3F" w14:textId="77777777" w:rsidR="007B3507" w:rsidRPr="001D52A0" w:rsidRDefault="007B3507" w:rsidP="007B3507">
            <w:pPr>
              <w:autoSpaceDE w:val="0"/>
              <w:autoSpaceDN w:val="0"/>
              <w:adjustRightInd w:val="0"/>
              <w:jc w:val="both"/>
              <w:rPr>
                <w:rFonts w:asciiTheme="minorHAnsi" w:hAnsiTheme="minorHAnsi" w:cs="Arial"/>
                <w:b/>
                <w:bCs/>
                <w:sz w:val="22"/>
                <w:szCs w:val="22"/>
                <w:lang w:eastAsia="en-GB"/>
              </w:rPr>
            </w:pPr>
            <w:r w:rsidRPr="001D52A0">
              <w:rPr>
                <w:rFonts w:asciiTheme="minorHAnsi" w:hAnsiTheme="minorHAnsi" w:cs="Arial"/>
                <w:b/>
                <w:bCs/>
                <w:sz w:val="22"/>
                <w:szCs w:val="22"/>
                <w:lang w:eastAsia="en-GB"/>
              </w:rPr>
              <w:t>PPP Income  £000s</w:t>
            </w:r>
          </w:p>
        </w:tc>
        <w:tc>
          <w:tcPr>
            <w:tcW w:w="1191" w:type="dxa"/>
            <w:hideMark/>
          </w:tcPr>
          <w:p w14:paraId="704330FC" w14:textId="77777777" w:rsidR="007B3507" w:rsidRPr="001D52A0" w:rsidRDefault="007B3507" w:rsidP="007B3507">
            <w:pPr>
              <w:autoSpaceDE w:val="0"/>
              <w:autoSpaceDN w:val="0"/>
              <w:adjustRightInd w:val="0"/>
              <w:jc w:val="both"/>
              <w:rPr>
                <w:rFonts w:asciiTheme="minorHAnsi" w:hAnsiTheme="minorHAnsi" w:cs="Arial"/>
                <w:b/>
                <w:bCs/>
                <w:sz w:val="22"/>
                <w:szCs w:val="22"/>
                <w:lang w:eastAsia="en-GB"/>
              </w:rPr>
            </w:pPr>
            <w:r w:rsidRPr="001D52A0">
              <w:rPr>
                <w:rFonts w:asciiTheme="minorHAnsi" w:hAnsiTheme="minorHAnsi" w:cs="Arial"/>
                <w:b/>
                <w:bCs/>
                <w:sz w:val="22"/>
                <w:szCs w:val="22"/>
                <w:lang w:eastAsia="en-GB"/>
              </w:rPr>
              <w:t>Total Reserves £000s</w:t>
            </w:r>
          </w:p>
        </w:tc>
      </w:tr>
      <w:tr w:rsidR="00BA6419" w:rsidRPr="001D52A0" w14:paraId="40D4F32B" w14:textId="77777777" w:rsidTr="003842FA">
        <w:trPr>
          <w:trHeight w:val="296"/>
        </w:trPr>
        <w:tc>
          <w:tcPr>
            <w:tcW w:w="6748" w:type="dxa"/>
            <w:hideMark/>
          </w:tcPr>
          <w:p w14:paraId="10285344" w14:textId="77777777" w:rsidR="00BA6419" w:rsidRPr="001D52A0" w:rsidRDefault="00BA6419" w:rsidP="00BA6419">
            <w:pPr>
              <w:autoSpaceDE w:val="0"/>
              <w:autoSpaceDN w:val="0"/>
              <w:adjustRightInd w:val="0"/>
              <w:jc w:val="both"/>
              <w:rPr>
                <w:rFonts w:asciiTheme="minorHAnsi" w:hAnsiTheme="minorHAnsi" w:cs="Arial"/>
                <w:sz w:val="22"/>
                <w:szCs w:val="22"/>
                <w:lang w:eastAsia="en-GB"/>
              </w:rPr>
            </w:pPr>
            <w:r w:rsidRPr="001D52A0">
              <w:rPr>
                <w:rFonts w:asciiTheme="minorHAnsi" w:hAnsiTheme="minorHAnsi" w:cs="Arial"/>
                <w:sz w:val="22"/>
                <w:szCs w:val="22"/>
                <w:lang w:eastAsia="en-GB"/>
              </w:rPr>
              <w:t>Total Reserves 31 March 2023</w:t>
            </w:r>
          </w:p>
        </w:tc>
        <w:tc>
          <w:tcPr>
            <w:tcW w:w="1323" w:type="dxa"/>
            <w:hideMark/>
          </w:tcPr>
          <w:p w14:paraId="760F0B1A" w14:textId="7550013D" w:rsidR="00BA6419" w:rsidRPr="001D52A0" w:rsidRDefault="00BA6419" w:rsidP="00BA6419">
            <w:pPr>
              <w:autoSpaceDE w:val="0"/>
              <w:autoSpaceDN w:val="0"/>
              <w:adjustRightInd w:val="0"/>
              <w:jc w:val="center"/>
              <w:rPr>
                <w:rFonts w:asciiTheme="minorHAnsi" w:hAnsiTheme="minorHAnsi" w:cs="Arial"/>
                <w:sz w:val="22"/>
                <w:szCs w:val="22"/>
                <w:lang w:eastAsia="en-GB"/>
              </w:rPr>
            </w:pPr>
            <w:r w:rsidRPr="001D52A0">
              <w:rPr>
                <w:rFonts w:asciiTheme="minorHAnsi" w:hAnsiTheme="minorHAnsi" w:cs="Arial"/>
                <w:sz w:val="22"/>
                <w:szCs w:val="22"/>
              </w:rPr>
              <w:t>75,964</w:t>
            </w:r>
          </w:p>
        </w:tc>
        <w:tc>
          <w:tcPr>
            <w:tcW w:w="1059" w:type="dxa"/>
            <w:hideMark/>
          </w:tcPr>
          <w:p w14:paraId="3A29D583" w14:textId="194C7CDF" w:rsidR="00BA6419" w:rsidRPr="001D52A0" w:rsidRDefault="00BA6419" w:rsidP="00BA6419">
            <w:pPr>
              <w:autoSpaceDE w:val="0"/>
              <w:autoSpaceDN w:val="0"/>
              <w:adjustRightInd w:val="0"/>
              <w:jc w:val="center"/>
              <w:rPr>
                <w:rFonts w:asciiTheme="minorHAnsi" w:hAnsiTheme="minorHAnsi" w:cs="Arial"/>
                <w:sz w:val="22"/>
                <w:szCs w:val="22"/>
                <w:lang w:eastAsia="en-GB"/>
              </w:rPr>
            </w:pPr>
            <w:r w:rsidRPr="001D52A0">
              <w:rPr>
                <w:rFonts w:asciiTheme="minorHAnsi" w:hAnsiTheme="minorHAnsi" w:cs="Arial"/>
                <w:sz w:val="22"/>
                <w:szCs w:val="22"/>
              </w:rPr>
              <w:t>9,915</w:t>
            </w:r>
          </w:p>
        </w:tc>
        <w:tc>
          <w:tcPr>
            <w:tcW w:w="1191" w:type="dxa"/>
            <w:hideMark/>
          </w:tcPr>
          <w:p w14:paraId="71F0E02C" w14:textId="2B4CD653" w:rsidR="00BA6419" w:rsidRPr="001D52A0" w:rsidRDefault="00BA6419" w:rsidP="00BA6419">
            <w:pPr>
              <w:autoSpaceDE w:val="0"/>
              <w:autoSpaceDN w:val="0"/>
              <w:adjustRightInd w:val="0"/>
              <w:jc w:val="center"/>
              <w:rPr>
                <w:rFonts w:asciiTheme="minorHAnsi" w:hAnsiTheme="minorHAnsi" w:cs="Arial"/>
                <w:sz w:val="22"/>
                <w:szCs w:val="22"/>
                <w:lang w:eastAsia="en-GB"/>
              </w:rPr>
            </w:pPr>
            <w:r w:rsidRPr="001D52A0">
              <w:rPr>
                <w:rFonts w:asciiTheme="minorHAnsi" w:hAnsiTheme="minorHAnsi" w:cs="Arial"/>
                <w:sz w:val="22"/>
                <w:szCs w:val="22"/>
              </w:rPr>
              <w:t>85,879</w:t>
            </w:r>
          </w:p>
        </w:tc>
      </w:tr>
      <w:tr w:rsidR="00BA6419" w:rsidRPr="001D52A0" w14:paraId="36A576B6" w14:textId="77777777" w:rsidTr="003842FA">
        <w:trPr>
          <w:trHeight w:val="593"/>
        </w:trPr>
        <w:tc>
          <w:tcPr>
            <w:tcW w:w="6748" w:type="dxa"/>
            <w:hideMark/>
          </w:tcPr>
          <w:p w14:paraId="448183C6" w14:textId="77777777" w:rsidR="00BA6419" w:rsidRPr="001D52A0" w:rsidRDefault="00BA6419" w:rsidP="00BA6419">
            <w:pPr>
              <w:autoSpaceDE w:val="0"/>
              <w:autoSpaceDN w:val="0"/>
              <w:adjustRightInd w:val="0"/>
              <w:jc w:val="both"/>
              <w:rPr>
                <w:rFonts w:asciiTheme="minorHAnsi" w:hAnsiTheme="minorHAnsi" w:cs="Arial"/>
                <w:sz w:val="22"/>
                <w:szCs w:val="22"/>
                <w:lang w:eastAsia="en-GB"/>
              </w:rPr>
            </w:pPr>
            <w:r w:rsidRPr="001D52A0">
              <w:rPr>
                <w:rFonts w:asciiTheme="minorHAnsi" w:hAnsiTheme="minorHAnsi" w:cs="Arial"/>
                <w:sz w:val="22"/>
                <w:szCs w:val="22"/>
                <w:lang w:eastAsia="en-GB"/>
              </w:rPr>
              <w:t>Less Revaluation Reserve (artificial gain/not realisable)</w:t>
            </w:r>
          </w:p>
        </w:tc>
        <w:tc>
          <w:tcPr>
            <w:tcW w:w="1323" w:type="dxa"/>
            <w:hideMark/>
          </w:tcPr>
          <w:p w14:paraId="37A923E3" w14:textId="17902CB0" w:rsidR="00BA6419" w:rsidRPr="001D52A0" w:rsidRDefault="00BA6419" w:rsidP="00BA6419">
            <w:pPr>
              <w:autoSpaceDE w:val="0"/>
              <w:autoSpaceDN w:val="0"/>
              <w:adjustRightInd w:val="0"/>
              <w:jc w:val="center"/>
              <w:rPr>
                <w:rFonts w:asciiTheme="minorHAnsi" w:hAnsiTheme="minorHAnsi" w:cs="Arial"/>
                <w:sz w:val="22"/>
                <w:szCs w:val="22"/>
                <w:lang w:eastAsia="en-GB"/>
              </w:rPr>
            </w:pPr>
            <w:r w:rsidRPr="001D52A0">
              <w:rPr>
                <w:rFonts w:asciiTheme="minorHAnsi" w:hAnsiTheme="minorHAnsi" w:cs="Arial"/>
                <w:sz w:val="22"/>
                <w:szCs w:val="22"/>
              </w:rPr>
              <w:t>(52,732)</w:t>
            </w:r>
          </w:p>
        </w:tc>
        <w:tc>
          <w:tcPr>
            <w:tcW w:w="1059" w:type="dxa"/>
            <w:hideMark/>
          </w:tcPr>
          <w:p w14:paraId="6ED296F3" w14:textId="77777777" w:rsidR="00BA6419" w:rsidRPr="001D52A0" w:rsidRDefault="00BA6419" w:rsidP="00BA6419">
            <w:pPr>
              <w:autoSpaceDE w:val="0"/>
              <w:autoSpaceDN w:val="0"/>
              <w:adjustRightInd w:val="0"/>
              <w:jc w:val="center"/>
              <w:rPr>
                <w:rFonts w:asciiTheme="minorHAnsi" w:hAnsiTheme="minorHAnsi" w:cs="Arial"/>
                <w:sz w:val="22"/>
                <w:szCs w:val="22"/>
                <w:lang w:eastAsia="en-GB"/>
              </w:rPr>
            </w:pPr>
          </w:p>
        </w:tc>
        <w:tc>
          <w:tcPr>
            <w:tcW w:w="1191" w:type="dxa"/>
            <w:hideMark/>
          </w:tcPr>
          <w:p w14:paraId="1FF5E02A" w14:textId="0E4173F8" w:rsidR="00BA6419" w:rsidRPr="001D52A0" w:rsidRDefault="00BA6419" w:rsidP="00BA6419">
            <w:pPr>
              <w:autoSpaceDE w:val="0"/>
              <w:autoSpaceDN w:val="0"/>
              <w:adjustRightInd w:val="0"/>
              <w:jc w:val="center"/>
              <w:rPr>
                <w:rFonts w:asciiTheme="minorHAnsi" w:hAnsiTheme="minorHAnsi" w:cs="Arial"/>
                <w:sz w:val="22"/>
                <w:szCs w:val="22"/>
                <w:lang w:eastAsia="en-GB"/>
              </w:rPr>
            </w:pPr>
            <w:r w:rsidRPr="001D52A0">
              <w:rPr>
                <w:rFonts w:asciiTheme="minorHAnsi" w:hAnsiTheme="minorHAnsi" w:cs="Arial"/>
                <w:sz w:val="22"/>
                <w:szCs w:val="22"/>
              </w:rPr>
              <w:t>(52,732)</w:t>
            </w:r>
          </w:p>
        </w:tc>
      </w:tr>
      <w:tr w:rsidR="00BA6419" w:rsidRPr="001D52A0" w14:paraId="05A25B1E" w14:textId="77777777" w:rsidTr="003842FA">
        <w:trPr>
          <w:trHeight w:val="296"/>
        </w:trPr>
        <w:tc>
          <w:tcPr>
            <w:tcW w:w="6748" w:type="dxa"/>
            <w:hideMark/>
          </w:tcPr>
          <w:p w14:paraId="04C7FA97" w14:textId="77777777" w:rsidR="00BA6419" w:rsidRPr="001D52A0" w:rsidRDefault="00BA6419" w:rsidP="00BA6419">
            <w:pPr>
              <w:autoSpaceDE w:val="0"/>
              <w:autoSpaceDN w:val="0"/>
              <w:adjustRightInd w:val="0"/>
              <w:jc w:val="both"/>
              <w:rPr>
                <w:rFonts w:asciiTheme="minorHAnsi" w:hAnsiTheme="minorHAnsi" w:cs="Arial"/>
                <w:sz w:val="22"/>
                <w:szCs w:val="22"/>
                <w:lang w:eastAsia="en-GB"/>
              </w:rPr>
            </w:pPr>
            <w:r w:rsidRPr="001D52A0">
              <w:rPr>
                <w:rFonts w:asciiTheme="minorHAnsi" w:hAnsiTheme="minorHAnsi" w:cs="Arial"/>
                <w:sz w:val="22"/>
                <w:szCs w:val="22"/>
                <w:lang w:eastAsia="en-GB"/>
              </w:rPr>
              <w:t>Less ear marked reserves (HRRC fund)</w:t>
            </w:r>
          </w:p>
        </w:tc>
        <w:tc>
          <w:tcPr>
            <w:tcW w:w="1323" w:type="dxa"/>
            <w:hideMark/>
          </w:tcPr>
          <w:p w14:paraId="06E51780" w14:textId="35ED68F8" w:rsidR="00BA6419" w:rsidRPr="001D52A0" w:rsidRDefault="00BA6419" w:rsidP="00BA6419">
            <w:pPr>
              <w:autoSpaceDE w:val="0"/>
              <w:autoSpaceDN w:val="0"/>
              <w:adjustRightInd w:val="0"/>
              <w:jc w:val="center"/>
              <w:rPr>
                <w:rFonts w:asciiTheme="minorHAnsi" w:hAnsiTheme="minorHAnsi" w:cs="Arial"/>
                <w:sz w:val="22"/>
                <w:szCs w:val="22"/>
                <w:lang w:eastAsia="en-GB"/>
              </w:rPr>
            </w:pPr>
            <w:r w:rsidRPr="001D52A0">
              <w:rPr>
                <w:rFonts w:asciiTheme="minorHAnsi" w:hAnsiTheme="minorHAnsi" w:cs="Arial"/>
                <w:sz w:val="22"/>
                <w:szCs w:val="22"/>
              </w:rPr>
              <w:t>(863)</w:t>
            </w:r>
          </w:p>
        </w:tc>
        <w:tc>
          <w:tcPr>
            <w:tcW w:w="1059" w:type="dxa"/>
            <w:hideMark/>
          </w:tcPr>
          <w:p w14:paraId="1DC33629" w14:textId="77777777" w:rsidR="00BA6419" w:rsidRPr="001D52A0" w:rsidRDefault="00BA6419" w:rsidP="00BA6419">
            <w:pPr>
              <w:autoSpaceDE w:val="0"/>
              <w:autoSpaceDN w:val="0"/>
              <w:adjustRightInd w:val="0"/>
              <w:jc w:val="center"/>
              <w:rPr>
                <w:rFonts w:asciiTheme="minorHAnsi" w:hAnsiTheme="minorHAnsi" w:cs="Arial"/>
                <w:sz w:val="22"/>
                <w:szCs w:val="22"/>
                <w:lang w:eastAsia="en-GB"/>
              </w:rPr>
            </w:pPr>
          </w:p>
        </w:tc>
        <w:tc>
          <w:tcPr>
            <w:tcW w:w="1191" w:type="dxa"/>
            <w:hideMark/>
          </w:tcPr>
          <w:p w14:paraId="65018042" w14:textId="19DA9EBA" w:rsidR="00BA6419" w:rsidRPr="001D52A0" w:rsidRDefault="00BA6419" w:rsidP="00BA6419">
            <w:pPr>
              <w:autoSpaceDE w:val="0"/>
              <w:autoSpaceDN w:val="0"/>
              <w:adjustRightInd w:val="0"/>
              <w:jc w:val="center"/>
              <w:rPr>
                <w:rFonts w:asciiTheme="minorHAnsi" w:hAnsiTheme="minorHAnsi" w:cs="Arial"/>
                <w:sz w:val="22"/>
                <w:szCs w:val="22"/>
                <w:lang w:eastAsia="en-GB"/>
              </w:rPr>
            </w:pPr>
            <w:r w:rsidRPr="001D52A0">
              <w:rPr>
                <w:rFonts w:asciiTheme="minorHAnsi" w:hAnsiTheme="minorHAnsi" w:cs="Arial"/>
                <w:sz w:val="22"/>
                <w:szCs w:val="22"/>
              </w:rPr>
              <w:t>(863)</w:t>
            </w:r>
          </w:p>
        </w:tc>
      </w:tr>
      <w:tr w:rsidR="00BA6419" w:rsidRPr="001D52A0" w14:paraId="6332DC0F" w14:textId="77777777" w:rsidTr="003842FA">
        <w:trPr>
          <w:trHeight w:val="296"/>
        </w:trPr>
        <w:tc>
          <w:tcPr>
            <w:tcW w:w="6748" w:type="dxa"/>
            <w:hideMark/>
          </w:tcPr>
          <w:p w14:paraId="408E3A08" w14:textId="77777777" w:rsidR="00BA6419" w:rsidRPr="001D52A0" w:rsidRDefault="00BA6419" w:rsidP="00BA6419">
            <w:pPr>
              <w:autoSpaceDE w:val="0"/>
              <w:autoSpaceDN w:val="0"/>
              <w:adjustRightInd w:val="0"/>
              <w:jc w:val="both"/>
              <w:rPr>
                <w:rFonts w:asciiTheme="minorHAnsi" w:hAnsiTheme="minorHAnsi" w:cs="Arial"/>
                <w:sz w:val="22"/>
                <w:szCs w:val="22"/>
                <w:lang w:eastAsia="en-GB"/>
              </w:rPr>
            </w:pPr>
            <w:r w:rsidRPr="001D52A0">
              <w:rPr>
                <w:rFonts w:asciiTheme="minorHAnsi" w:hAnsiTheme="minorHAnsi" w:cs="Arial"/>
                <w:sz w:val="22"/>
                <w:szCs w:val="22"/>
                <w:lang w:eastAsia="en-GB"/>
              </w:rPr>
              <w:t>Less disbursement of prior year reserves</w:t>
            </w:r>
          </w:p>
        </w:tc>
        <w:tc>
          <w:tcPr>
            <w:tcW w:w="1323" w:type="dxa"/>
            <w:hideMark/>
          </w:tcPr>
          <w:p w14:paraId="2B551E39" w14:textId="7DFF8F11" w:rsidR="00BA6419" w:rsidRPr="001D52A0" w:rsidRDefault="00AF32C4" w:rsidP="00AF32C4">
            <w:pPr>
              <w:autoSpaceDE w:val="0"/>
              <w:autoSpaceDN w:val="0"/>
              <w:adjustRightInd w:val="0"/>
              <w:jc w:val="center"/>
              <w:rPr>
                <w:rFonts w:asciiTheme="minorHAnsi" w:hAnsiTheme="minorHAnsi" w:cs="Arial"/>
                <w:sz w:val="22"/>
                <w:szCs w:val="22"/>
                <w:lang w:eastAsia="en-GB"/>
              </w:rPr>
            </w:pPr>
            <w:r w:rsidRPr="001D52A0">
              <w:rPr>
                <w:rFonts w:asciiTheme="minorHAnsi" w:hAnsiTheme="minorHAnsi" w:cs="Arial"/>
                <w:sz w:val="22"/>
                <w:szCs w:val="22"/>
              </w:rPr>
              <w:t>(3,300</w:t>
            </w:r>
            <w:r w:rsidR="00BA6419" w:rsidRPr="001D52A0">
              <w:rPr>
                <w:rFonts w:asciiTheme="minorHAnsi" w:hAnsiTheme="minorHAnsi" w:cs="Arial"/>
                <w:sz w:val="22"/>
                <w:szCs w:val="22"/>
              </w:rPr>
              <w:t>)</w:t>
            </w:r>
          </w:p>
        </w:tc>
        <w:tc>
          <w:tcPr>
            <w:tcW w:w="1059" w:type="dxa"/>
            <w:hideMark/>
          </w:tcPr>
          <w:p w14:paraId="7B7537F6" w14:textId="77777777" w:rsidR="00BA6419" w:rsidRPr="001D52A0" w:rsidRDefault="00BA6419" w:rsidP="00BA6419">
            <w:pPr>
              <w:autoSpaceDE w:val="0"/>
              <w:autoSpaceDN w:val="0"/>
              <w:adjustRightInd w:val="0"/>
              <w:jc w:val="center"/>
              <w:rPr>
                <w:rFonts w:asciiTheme="minorHAnsi" w:hAnsiTheme="minorHAnsi" w:cs="Arial"/>
                <w:sz w:val="22"/>
                <w:szCs w:val="22"/>
                <w:lang w:eastAsia="en-GB"/>
              </w:rPr>
            </w:pPr>
          </w:p>
        </w:tc>
        <w:tc>
          <w:tcPr>
            <w:tcW w:w="1191" w:type="dxa"/>
            <w:hideMark/>
          </w:tcPr>
          <w:p w14:paraId="5AF0CE9A" w14:textId="0CCD6E48" w:rsidR="00BA6419" w:rsidRPr="001D52A0" w:rsidRDefault="00AF32C4" w:rsidP="00AF32C4">
            <w:pPr>
              <w:autoSpaceDE w:val="0"/>
              <w:autoSpaceDN w:val="0"/>
              <w:adjustRightInd w:val="0"/>
              <w:jc w:val="center"/>
              <w:rPr>
                <w:rFonts w:asciiTheme="minorHAnsi" w:hAnsiTheme="minorHAnsi" w:cs="Arial"/>
                <w:sz w:val="22"/>
                <w:szCs w:val="22"/>
                <w:lang w:eastAsia="en-GB"/>
              </w:rPr>
            </w:pPr>
            <w:r w:rsidRPr="001D52A0">
              <w:rPr>
                <w:rFonts w:asciiTheme="minorHAnsi" w:hAnsiTheme="minorHAnsi" w:cs="Arial"/>
                <w:sz w:val="22"/>
                <w:szCs w:val="22"/>
              </w:rPr>
              <w:t>(3,300</w:t>
            </w:r>
            <w:r w:rsidR="00BA6419" w:rsidRPr="001D52A0">
              <w:rPr>
                <w:rFonts w:asciiTheme="minorHAnsi" w:hAnsiTheme="minorHAnsi" w:cs="Arial"/>
                <w:sz w:val="22"/>
                <w:szCs w:val="22"/>
              </w:rPr>
              <w:t>)</w:t>
            </w:r>
          </w:p>
        </w:tc>
      </w:tr>
      <w:tr w:rsidR="00BA6419" w:rsidRPr="001D52A0" w14:paraId="382D7FC6" w14:textId="77777777" w:rsidTr="003842FA">
        <w:trPr>
          <w:trHeight w:val="296"/>
        </w:trPr>
        <w:tc>
          <w:tcPr>
            <w:tcW w:w="6748" w:type="dxa"/>
            <w:hideMark/>
          </w:tcPr>
          <w:p w14:paraId="31311DCB" w14:textId="77777777" w:rsidR="00BA6419" w:rsidRPr="001D52A0" w:rsidRDefault="00BA6419" w:rsidP="00BA6419">
            <w:pPr>
              <w:autoSpaceDE w:val="0"/>
              <w:autoSpaceDN w:val="0"/>
              <w:adjustRightInd w:val="0"/>
              <w:jc w:val="both"/>
              <w:rPr>
                <w:rFonts w:asciiTheme="minorHAnsi" w:hAnsiTheme="minorHAnsi" w:cs="Arial"/>
                <w:b/>
                <w:bCs/>
                <w:sz w:val="22"/>
                <w:szCs w:val="22"/>
                <w:lang w:eastAsia="en-GB"/>
              </w:rPr>
            </w:pPr>
            <w:r w:rsidRPr="001D52A0">
              <w:rPr>
                <w:rFonts w:asciiTheme="minorHAnsi" w:hAnsiTheme="minorHAnsi" w:cs="Arial"/>
                <w:b/>
                <w:bCs/>
                <w:sz w:val="22"/>
                <w:szCs w:val="22"/>
                <w:lang w:eastAsia="en-GB"/>
              </w:rPr>
              <w:t>Reserves 31 March 2023</w:t>
            </w:r>
          </w:p>
        </w:tc>
        <w:tc>
          <w:tcPr>
            <w:tcW w:w="1323" w:type="dxa"/>
            <w:hideMark/>
          </w:tcPr>
          <w:p w14:paraId="4450AF44" w14:textId="466D90F9" w:rsidR="00BA6419" w:rsidRPr="001D52A0" w:rsidRDefault="00BA6419" w:rsidP="00BA6419">
            <w:pPr>
              <w:autoSpaceDE w:val="0"/>
              <w:autoSpaceDN w:val="0"/>
              <w:adjustRightInd w:val="0"/>
              <w:jc w:val="center"/>
              <w:rPr>
                <w:rFonts w:asciiTheme="minorHAnsi" w:hAnsiTheme="minorHAnsi" w:cs="Arial"/>
                <w:b/>
                <w:bCs/>
                <w:sz w:val="22"/>
                <w:szCs w:val="22"/>
                <w:lang w:eastAsia="en-GB"/>
              </w:rPr>
            </w:pPr>
            <w:r w:rsidRPr="001D52A0">
              <w:rPr>
                <w:rFonts w:asciiTheme="minorHAnsi" w:hAnsiTheme="minorHAnsi" w:cs="Arial"/>
                <w:b/>
                <w:sz w:val="22"/>
                <w:szCs w:val="22"/>
              </w:rPr>
              <w:t>1</w:t>
            </w:r>
            <w:r w:rsidR="00AF32C4" w:rsidRPr="001D52A0">
              <w:rPr>
                <w:rFonts w:asciiTheme="minorHAnsi" w:hAnsiTheme="minorHAnsi" w:cs="Arial"/>
                <w:b/>
                <w:sz w:val="22"/>
                <w:szCs w:val="22"/>
              </w:rPr>
              <w:t>9,069</w:t>
            </w:r>
          </w:p>
        </w:tc>
        <w:tc>
          <w:tcPr>
            <w:tcW w:w="1059" w:type="dxa"/>
            <w:hideMark/>
          </w:tcPr>
          <w:p w14:paraId="66609838" w14:textId="7AA53054" w:rsidR="00BA6419" w:rsidRPr="001D52A0" w:rsidRDefault="00BA6419" w:rsidP="00BA6419">
            <w:pPr>
              <w:autoSpaceDE w:val="0"/>
              <w:autoSpaceDN w:val="0"/>
              <w:adjustRightInd w:val="0"/>
              <w:jc w:val="center"/>
              <w:rPr>
                <w:rFonts w:asciiTheme="minorHAnsi" w:hAnsiTheme="minorHAnsi" w:cs="Arial"/>
                <w:b/>
                <w:bCs/>
                <w:sz w:val="22"/>
                <w:szCs w:val="22"/>
                <w:lang w:eastAsia="en-GB"/>
              </w:rPr>
            </w:pPr>
            <w:r w:rsidRPr="001D52A0">
              <w:rPr>
                <w:rFonts w:asciiTheme="minorHAnsi" w:hAnsiTheme="minorHAnsi" w:cs="Arial"/>
                <w:b/>
                <w:sz w:val="22"/>
                <w:szCs w:val="22"/>
              </w:rPr>
              <w:t>9,915</w:t>
            </w:r>
          </w:p>
        </w:tc>
        <w:tc>
          <w:tcPr>
            <w:tcW w:w="1191" w:type="dxa"/>
            <w:hideMark/>
          </w:tcPr>
          <w:p w14:paraId="22BC985A" w14:textId="0F4E2F1F" w:rsidR="00BA6419" w:rsidRPr="001D52A0" w:rsidRDefault="00AF32C4" w:rsidP="00BA6419">
            <w:pPr>
              <w:autoSpaceDE w:val="0"/>
              <w:autoSpaceDN w:val="0"/>
              <w:adjustRightInd w:val="0"/>
              <w:jc w:val="center"/>
              <w:rPr>
                <w:rFonts w:asciiTheme="minorHAnsi" w:hAnsiTheme="minorHAnsi" w:cs="Arial"/>
                <w:b/>
                <w:bCs/>
                <w:sz w:val="22"/>
                <w:szCs w:val="22"/>
                <w:lang w:eastAsia="en-GB"/>
              </w:rPr>
            </w:pPr>
            <w:r w:rsidRPr="001D52A0">
              <w:rPr>
                <w:rFonts w:asciiTheme="minorHAnsi" w:hAnsiTheme="minorHAnsi" w:cs="Arial"/>
                <w:b/>
                <w:sz w:val="22"/>
                <w:szCs w:val="22"/>
              </w:rPr>
              <w:t>28,983</w:t>
            </w:r>
          </w:p>
        </w:tc>
      </w:tr>
      <w:tr w:rsidR="00BA6419" w:rsidRPr="001D52A0" w14:paraId="47A20945" w14:textId="77777777" w:rsidTr="003842FA">
        <w:trPr>
          <w:trHeight w:val="296"/>
        </w:trPr>
        <w:tc>
          <w:tcPr>
            <w:tcW w:w="6748" w:type="dxa"/>
            <w:hideMark/>
          </w:tcPr>
          <w:p w14:paraId="448BA8EB" w14:textId="77777777" w:rsidR="00BA6419" w:rsidRPr="001D52A0" w:rsidRDefault="00BA6419" w:rsidP="00BA6419">
            <w:pPr>
              <w:autoSpaceDE w:val="0"/>
              <w:autoSpaceDN w:val="0"/>
              <w:adjustRightInd w:val="0"/>
              <w:jc w:val="both"/>
              <w:rPr>
                <w:rFonts w:asciiTheme="minorHAnsi" w:hAnsiTheme="minorHAnsi" w:cs="Arial"/>
                <w:sz w:val="22"/>
                <w:szCs w:val="22"/>
                <w:lang w:eastAsia="en-GB"/>
              </w:rPr>
            </w:pPr>
            <w:r w:rsidRPr="001D52A0">
              <w:rPr>
                <w:rFonts w:asciiTheme="minorHAnsi" w:hAnsiTheme="minorHAnsi" w:cs="Arial"/>
                <w:sz w:val="22"/>
                <w:szCs w:val="22"/>
                <w:lang w:eastAsia="en-GB"/>
              </w:rPr>
              <w:t>Forecast surplus/(deficit) 23/24</w:t>
            </w:r>
          </w:p>
        </w:tc>
        <w:tc>
          <w:tcPr>
            <w:tcW w:w="1323" w:type="dxa"/>
            <w:hideMark/>
          </w:tcPr>
          <w:p w14:paraId="3CDC1EFB" w14:textId="296E28E3" w:rsidR="00BA6419" w:rsidRPr="001D52A0" w:rsidRDefault="00BA6419" w:rsidP="00BA6419">
            <w:pPr>
              <w:autoSpaceDE w:val="0"/>
              <w:autoSpaceDN w:val="0"/>
              <w:adjustRightInd w:val="0"/>
              <w:jc w:val="center"/>
              <w:rPr>
                <w:rFonts w:asciiTheme="minorHAnsi" w:hAnsiTheme="minorHAnsi" w:cs="Arial"/>
                <w:sz w:val="22"/>
                <w:szCs w:val="22"/>
                <w:lang w:eastAsia="en-GB"/>
              </w:rPr>
            </w:pPr>
            <w:r w:rsidRPr="001D52A0">
              <w:rPr>
                <w:rFonts w:asciiTheme="minorHAnsi" w:hAnsiTheme="minorHAnsi" w:cs="Arial"/>
                <w:sz w:val="22"/>
                <w:szCs w:val="22"/>
              </w:rPr>
              <w:t>(2,127)</w:t>
            </w:r>
          </w:p>
        </w:tc>
        <w:tc>
          <w:tcPr>
            <w:tcW w:w="1059" w:type="dxa"/>
            <w:hideMark/>
          </w:tcPr>
          <w:p w14:paraId="639D5454" w14:textId="1DC32D71" w:rsidR="00BA6419" w:rsidRPr="001D52A0" w:rsidRDefault="00BA6419" w:rsidP="00BA6419">
            <w:pPr>
              <w:autoSpaceDE w:val="0"/>
              <w:autoSpaceDN w:val="0"/>
              <w:adjustRightInd w:val="0"/>
              <w:jc w:val="center"/>
              <w:rPr>
                <w:rFonts w:asciiTheme="minorHAnsi" w:hAnsiTheme="minorHAnsi" w:cs="Arial"/>
                <w:sz w:val="22"/>
                <w:szCs w:val="22"/>
                <w:lang w:eastAsia="en-GB"/>
              </w:rPr>
            </w:pPr>
            <w:r w:rsidRPr="001D52A0">
              <w:rPr>
                <w:rFonts w:asciiTheme="minorHAnsi" w:hAnsiTheme="minorHAnsi" w:cs="Arial"/>
                <w:sz w:val="22"/>
                <w:szCs w:val="22"/>
              </w:rPr>
              <w:t>0</w:t>
            </w:r>
          </w:p>
        </w:tc>
        <w:tc>
          <w:tcPr>
            <w:tcW w:w="1191" w:type="dxa"/>
            <w:hideMark/>
          </w:tcPr>
          <w:p w14:paraId="25B90FDB" w14:textId="647C71D0" w:rsidR="00BA6419" w:rsidRPr="001D52A0" w:rsidRDefault="00BA6419" w:rsidP="00BA6419">
            <w:pPr>
              <w:autoSpaceDE w:val="0"/>
              <w:autoSpaceDN w:val="0"/>
              <w:adjustRightInd w:val="0"/>
              <w:jc w:val="center"/>
              <w:rPr>
                <w:rFonts w:asciiTheme="minorHAnsi" w:hAnsiTheme="minorHAnsi" w:cs="Arial"/>
                <w:sz w:val="22"/>
                <w:szCs w:val="22"/>
                <w:lang w:eastAsia="en-GB"/>
              </w:rPr>
            </w:pPr>
            <w:r w:rsidRPr="001D52A0">
              <w:rPr>
                <w:rFonts w:asciiTheme="minorHAnsi" w:hAnsiTheme="minorHAnsi" w:cs="Arial"/>
                <w:sz w:val="22"/>
                <w:szCs w:val="22"/>
              </w:rPr>
              <w:t>(2,127)</w:t>
            </w:r>
          </w:p>
        </w:tc>
      </w:tr>
      <w:tr w:rsidR="00BA6419" w:rsidRPr="001D52A0" w14:paraId="0B790D90" w14:textId="77777777" w:rsidTr="003842FA">
        <w:trPr>
          <w:trHeight w:val="296"/>
        </w:trPr>
        <w:tc>
          <w:tcPr>
            <w:tcW w:w="6748" w:type="dxa"/>
            <w:hideMark/>
          </w:tcPr>
          <w:p w14:paraId="2E4A6533" w14:textId="30F73632" w:rsidR="00BA6419" w:rsidRPr="001D52A0" w:rsidRDefault="00BA6419" w:rsidP="00BA6419">
            <w:pPr>
              <w:autoSpaceDE w:val="0"/>
              <w:autoSpaceDN w:val="0"/>
              <w:adjustRightInd w:val="0"/>
              <w:jc w:val="both"/>
              <w:rPr>
                <w:rFonts w:asciiTheme="minorHAnsi" w:hAnsiTheme="minorHAnsi" w:cs="Arial"/>
                <w:sz w:val="22"/>
                <w:szCs w:val="22"/>
                <w:lang w:eastAsia="en-GB"/>
              </w:rPr>
            </w:pPr>
            <w:r w:rsidRPr="001D52A0">
              <w:rPr>
                <w:rFonts w:asciiTheme="minorHAnsi" w:hAnsiTheme="minorHAnsi" w:cs="Arial"/>
                <w:sz w:val="22"/>
                <w:szCs w:val="22"/>
                <w:lang w:eastAsia="en-GB"/>
              </w:rPr>
              <w:t>PPP income expected</w:t>
            </w:r>
            <w:r w:rsidR="000A41C0" w:rsidRPr="001D52A0">
              <w:rPr>
                <w:rFonts w:asciiTheme="minorHAnsi" w:hAnsiTheme="minorHAnsi" w:cs="Arial"/>
                <w:sz w:val="22"/>
                <w:szCs w:val="22"/>
                <w:lang w:eastAsia="en-GB"/>
              </w:rPr>
              <w:t xml:space="preserve"> (2023/24)</w:t>
            </w:r>
          </w:p>
        </w:tc>
        <w:tc>
          <w:tcPr>
            <w:tcW w:w="1323" w:type="dxa"/>
            <w:hideMark/>
          </w:tcPr>
          <w:p w14:paraId="771913CA" w14:textId="77777777" w:rsidR="00BA6419" w:rsidRPr="001D52A0" w:rsidRDefault="00BA6419" w:rsidP="00BA6419">
            <w:pPr>
              <w:autoSpaceDE w:val="0"/>
              <w:autoSpaceDN w:val="0"/>
              <w:adjustRightInd w:val="0"/>
              <w:jc w:val="center"/>
              <w:rPr>
                <w:rFonts w:asciiTheme="minorHAnsi" w:hAnsiTheme="minorHAnsi" w:cs="Arial"/>
                <w:sz w:val="22"/>
                <w:szCs w:val="22"/>
                <w:lang w:eastAsia="en-GB"/>
              </w:rPr>
            </w:pPr>
          </w:p>
        </w:tc>
        <w:tc>
          <w:tcPr>
            <w:tcW w:w="1059" w:type="dxa"/>
            <w:hideMark/>
          </w:tcPr>
          <w:p w14:paraId="18192A6A" w14:textId="173B905A" w:rsidR="00BA6419" w:rsidRPr="001D52A0" w:rsidRDefault="00AF32C4" w:rsidP="00BA6419">
            <w:pPr>
              <w:autoSpaceDE w:val="0"/>
              <w:autoSpaceDN w:val="0"/>
              <w:adjustRightInd w:val="0"/>
              <w:jc w:val="center"/>
              <w:rPr>
                <w:rFonts w:asciiTheme="minorHAnsi" w:hAnsiTheme="minorHAnsi" w:cs="Arial"/>
                <w:sz w:val="22"/>
                <w:szCs w:val="22"/>
                <w:lang w:eastAsia="en-GB"/>
              </w:rPr>
            </w:pPr>
            <w:r w:rsidRPr="001D52A0">
              <w:rPr>
                <w:rFonts w:asciiTheme="minorHAnsi" w:hAnsiTheme="minorHAnsi" w:cs="Arial"/>
                <w:sz w:val="22"/>
                <w:szCs w:val="22"/>
              </w:rPr>
              <w:t>6,3</w:t>
            </w:r>
            <w:r w:rsidR="00BA6419" w:rsidRPr="001D52A0">
              <w:rPr>
                <w:rFonts w:asciiTheme="minorHAnsi" w:hAnsiTheme="minorHAnsi" w:cs="Arial"/>
                <w:sz w:val="22"/>
                <w:szCs w:val="22"/>
              </w:rPr>
              <w:t>00</w:t>
            </w:r>
          </w:p>
        </w:tc>
        <w:tc>
          <w:tcPr>
            <w:tcW w:w="1191" w:type="dxa"/>
            <w:hideMark/>
          </w:tcPr>
          <w:p w14:paraId="187CEC11" w14:textId="0C9F4EC1" w:rsidR="00BA6419" w:rsidRPr="001D52A0" w:rsidRDefault="00BA6419" w:rsidP="000A41C0">
            <w:pPr>
              <w:autoSpaceDE w:val="0"/>
              <w:autoSpaceDN w:val="0"/>
              <w:adjustRightInd w:val="0"/>
              <w:jc w:val="center"/>
              <w:rPr>
                <w:rFonts w:asciiTheme="minorHAnsi" w:hAnsiTheme="minorHAnsi" w:cs="Arial"/>
                <w:sz w:val="22"/>
                <w:szCs w:val="22"/>
                <w:lang w:eastAsia="en-GB"/>
              </w:rPr>
            </w:pPr>
            <w:r w:rsidRPr="001D52A0">
              <w:rPr>
                <w:rFonts w:asciiTheme="minorHAnsi" w:hAnsiTheme="minorHAnsi" w:cs="Arial"/>
                <w:sz w:val="22"/>
                <w:szCs w:val="22"/>
              </w:rPr>
              <w:t>6,</w:t>
            </w:r>
            <w:r w:rsidR="000A41C0" w:rsidRPr="001D52A0">
              <w:rPr>
                <w:rFonts w:asciiTheme="minorHAnsi" w:hAnsiTheme="minorHAnsi" w:cs="Arial"/>
                <w:sz w:val="22"/>
                <w:szCs w:val="22"/>
              </w:rPr>
              <w:t>3</w:t>
            </w:r>
            <w:r w:rsidRPr="001D52A0">
              <w:rPr>
                <w:rFonts w:asciiTheme="minorHAnsi" w:hAnsiTheme="minorHAnsi" w:cs="Arial"/>
                <w:sz w:val="22"/>
                <w:szCs w:val="22"/>
              </w:rPr>
              <w:t>00</w:t>
            </w:r>
          </w:p>
        </w:tc>
      </w:tr>
      <w:tr w:rsidR="00BA6419" w:rsidRPr="001D52A0" w14:paraId="5F26093F" w14:textId="77777777" w:rsidTr="003842FA">
        <w:trPr>
          <w:trHeight w:val="296"/>
        </w:trPr>
        <w:tc>
          <w:tcPr>
            <w:tcW w:w="6748" w:type="dxa"/>
            <w:hideMark/>
          </w:tcPr>
          <w:p w14:paraId="3E0A086E" w14:textId="77777777" w:rsidR="00BA6419" w:rsidRPr="001D52A0" w:rsidRDefault="00BA6419" w:rsidP="00BA6419">
            <w:pPr>
              <w:autoSpaceDE w:val="0"/>
              <w:autoSpaceDN w:val="0"/>
              <w:adjustRightInd w:val="0"/>
              <w:jc w:val="both"/>
              <w:rPr>
                <w:rFonts w:asciiTheme="minorHAnsi" w:hAnsiTheme="minorHAnsi" w:cs="Arial"/>
                <w:sz w:val="22"/>
                <w:szCs w:val="22"/>
                <w:lang w:eastAsia="en-GB"/>
              </w:rPr>
            </w:pPr>
            <w:r w:rsidRPr="001D52A0">
              <w:rPr>
                <w:rFonts w:asciiTheme="minorHAnsi" w:hAnsiTheme="minorHAnsi" w:cs="Arial"/>
                <w:sz w:val="22"/>
                <w:szCs w:val="22"/>
                <w:lang w:eastAsia="en-GB"/>
              </w:rPr>
              <w:t>PPP income share for boroughs (2023/24)</w:t>
            </w:r>
          </w:p>
        </w:tc>
        <w:tc>
          <w:tcPr>
            <w:tcW w:w="1323" w:type="dxa"/>
            <w:hideMark/>
          </w:tcPr>
          <w:p w14:paraId="21F249DE" w14:textId="77777777" w:rsidR="00BA6419" w:rsidRPr="001D52A0" w:rsidRDefault="00BA6419" w:rsidP="00BA6419">
            <w:pPr>
              <w:autoSpaceDE w:val="0"/>
              <w:autoSpaceDN w:val="0"/>
              <w:adjustRightInd w:val="0"/>
              <w:jc w:val="center"/>
              <w:rPr>
                <w:rFonts w:asciiTheme="minorHAnsi" w:hAnsiTheme="minorHAnsi" w:cs="Arial"/>
                <w:sz w:val="22"/>
                <w:szCs w:val="22"/>
                <w:lang w:eastAsia="en-GB"/>
              </w:rPr>
            </w:pPr>
          </w:p>
        </w:tc>
        <w:tc>
          <w:tcPr>
            <w:tcW w:w="1059" w:type="dxa"/>
            <w:hideMark/>
          </w:tcPr>
          <w:p w14:paraId="67087E52" w14:textId="11BA9BD6" w:rsidR="00BA6419" w:rsidRPr="001D52A0" w:rsidRDefault="00AF32C4" w:rsidP="00AF32C4">
            <w:pPr>
              <w:autoSpaceDE w:val="0"/>
              <w:autoSpaceDN w:val="0"/>
              <w:adjustRightInd w:val="0"/>
              <w:jc w:val="center"/>
              <w:rPr>
                <w:rFonts w:asciiTheme="minorHAnsi" w:hAnsiTheme="minorHAnsi" w:cs="Arial"/>
                <w:sz w:val="22"/>
                <w:szCs w:val="22"/>
                <w:lang w:eastAsia="en-GB"/>
              </w:rPr>
            </w:pPr>
            <w:r w:rsidRPr="001D52A0">
              <w:rPr>
                <w:rFonts w:asciiTheme="minorHAnsi" w:hAnsiTheme="minorHAnsi" w:cs="Arial"/>
                <w:sz w:val="22"/>
                <w:szCs w:val="22"/>
              </w:rPr>
              <w:t>(4,200</w:t>
            </w:r>
            <w:r w:rsidR="00BA6419" w:rsidRPr="001D52A0">
              <w:rPr>
                <w:rFonts w:asciiTheme="minorHAnsi" w:hAnsiTheme="minorHAnsi" w:cs="Arial"/>
                <w:sz w:val="22"/>
                <w:szCs w:val="22"/>
              </w:rPr>
              <w:t>)</w:t>
            </w:r>
          </w:p>
        </w:tc>
        <w:tc>
          <w:tcPr>
            <w:tcW w:w="1191" w:type="dxa"/>
            <w:hideMark/>
          </w:tcPr>
          <w:p w14:paraId="4BE3043A" w14:textId="61D163F7" w:rsidR="00BA6419" w:rsidRPr="001D52A0" w:rsidRDefault="00BA6419" w:rsidP="000A41C0">
            <w:pPr>
              <w:autoSpaceDE w:val="0"/>
              <w:autoSpaceDN w:val="0"/>
              <w:adjustRightInd w:val="0"/>
              <w:jc w:val="center"/>
              <w:rPr>
                <w:rFonts w:asciiTheme="minorHAnsi" w:hAnsiTheme="minorHAnsi" w:cs="Arial"/>
                <w:sz w:val="22"/>
                <w:szCs w:val="22"/>
                <w:lang w:eastAsia="en-GB"/>
              </w:rPr>
            </w:pPr>
            <w:r w:rsidRPr="001D52A0">
              <w:rPr>
                <w:rFonts w:asciiTheme="minorHAnsi" w:hAnsiTheme="minorHAnsi" w:cs="Arial"/>
                <w:sz w:val="22"/>
                <w:szCs w:val="22"/>
              </w:rPr>
              <w:t>(4,</w:t>
            </w:r>
            <w:r w:rsidR="000A41C0" w:rsidRPr="001D52A0">
              <w:rPr>
                <w:rFonts w:asciiTheme="minorHAnsi" w:hAnsiTheme="minorHAnsi" w:cs="Arial"/>
                <w:sz w:val="22"/>
                <w:szCs w:val="22"/>
              </w:rPr>
              <w:t>200</w:t>
            </w:r>
            <w:r w:rsidRPr="001D52A0">
              <w:rPr>
                <w:rFonts w:asciiTheme="minorHAnsi" w:hAnsiTheme="minorHAnsi" w:cs="Arial"/>
                <w:sz w:val="22"/>
                <w:szCs w:val="22"/>
              </w:rPr>
              <w:t>)</w:t>
            </w:r>
          </w:p>
        </w:tc>
      </w:tr>
      <w:tr w:rsidR="00BA6419" w:rsidRPr="001D52A0" w14:paraId="4D3A1FCD" w14:textId="77777777" w:rsidTr="003842FA">
        <w:trPr>
          <w:trHeight w:val="296"/>
        </w:trPr>
        <w:tc>
          <w:tcPr>
            <w:tcW w:w="6748" w:type="dxa"/>
            <w:hideMark/>
          </w:tcPr>
          <w:p w14:paraId="513DB078" w14:textId="77777777" w:rsidR="00BA6419" w:rsidRPr="001D52A0" w:rsidRDefault="00BA6419" w:rsidP="00BA6419">
            <w:pPr>
              <w:autoSpaceDE w:val="0"/>
              <w:autoSpaceDN w:val="0"/>
              <w:adjustRightInd w:val="0"/>
              <w:jc w:val="both"/>
              <w:rPr>
                <w:rFonts w:asciiTheme="minorHAnsi" w:hAnsiTheme="minorHAnsi" w:cs="Arial"/>
                <w:b/>
                <w:bCs/>
                <w:sz w:val="22"/>
                <w:szCs w:val="22"/>
                <w:lang w:eastAsia="en-GB"/>
              </w:rPr>
            </w:pPr>
            <w:r w:rsidRPr="001D52A0">
              <w:rPr>
                <w:rFonts w:asciiTheme="minorHAnsi" w:hAnsiTheme="minorHAnsi" w:cs="Arial"/>
                <w:b/>
                <w:bCs/>
                <w:sz w:val="22"/>
                <w:szCs w:val="22"/>
                <w:lang w:eastAsia="en-GB"/>
              </w:rPr>
              <w:t>Reserves 31 March 2024</w:t>
            </w:r>
          </w:p>
        </w:tc>
        <w:tc>
          <w:tcPr>
            <w:tcW w:w="1323" w:type="dxa"/>
            <w:hideMark/>
          </w:tcPr>
          <w:p w14:paraId="46A7CBBA" w14:textId="6928B606" w:rsidR="00BA6419" w:rsidRPr="001D52A0" w:rsidRDefault="00AF32C4" w:rsidP="00BA6419">
            <w:pPr>
              <w:autoSpaceDE w:val="0"/>
              <w:autoSpaceDN w:val="0"/>
              <w:adjustRightInd w:val="0"/>
              <w:jc w:val="center"/>
              <w:rPr>
                <w:rFonts w:asciiTheme="minorHAnsi" w:hAnsiTheme="minorHAnsi" w:cs="Arial"/>
                <w:b/>
                <w:bCs/>
                <w:sz w:val="22"/>
                <w:szCs w:val="22"/>
                <w:lang w:eastAsia="en-GB"/>
              </w:rPr>
            </w:pPr>
            <w:r w:rsidRPr="001D52A0">
              <w:rPr>
                <w:rFonts w:asciiTheme="minorHAnsi" w:hAnsiTheme="minorHAnsi" w:cs="Arial"/>
                <w:b/>
                <w:sz w:val="22"/>
                <w:szCs w:val="22"/>
              </w:rPr>
              <w:t>16,942</w:t>
            </w:r>
          </w:p>
        </w:tc>
        <w:tc>
          <w:tcPr>
            <w:tcW w:w="1059" w:type="dxa"/>
            <w:hideMark/>
          </w:tcPr>
          <w:p w14:paraId="2E3F7A22" w14:textId="72234EDD" w:rsidR="00BA6419" w:rsidRPr="001D52A0" w:rsidRDefault="00AF32C4" w:rsidP="00BA6419">
            <w:pPr>
              <w:autoSpaceDE w:val="0"/>
              <w:autoSpaceDN w:val="0"/>
              <w:adjustRightInd w:val="0"/>
              <w:jc w:val="center"/>
              <w:rPr>
                <w:rFonts w:asciiTheme="minorHAnsi" w:hAnsiTheme="minorHAnsi" w:cs="Arial"/>
                <w:b/>
                <w:bCs/>
                <w:sz w:val="22"/>
                <w:szCs w:val="22"/>
                <w:lang w:eastAsia="en-GB"/>
              </w:rPr>
            </w:pPr>
            <w:r w:rsidRPr="001D52A0">
              <w:rPr>
                <w:rFonts w:asciiTheme="minorHAnsi" w:hAnsiTheme="minorHAnsi" w:cs="Arial"/>
                <w:b/>
                <w:sz w:val="22"/>
                <w:szCs w:val="22"/>
              </w:rPr>
              <w:t>12,015</w:t>
            </w:r>
          </w:p>
        </w:tc>
        <w:tc>
          <w:tcPr>
            <w:tcW w:w="1191" w:type="dxa"/>
            <w:hideMark/>
          </w:tcPr>
          <w:p w14:paraId="543D42D7" w14:textId="0D4E150F" w:rsidR="00BA6419" w:rsidRPr="001D52A0" w:rsidRDefault="00AF32C4" w:rsidP="00BA6419">
            <w:pPr>
              <w:autoSpaceDE w:val="0"/>
              <w:autoSpaceDN w:val="0"/>
              <w:adjustRightInd w:val="0"/>
              <w:jc w:val="center"/>
              <w:rPr>
                <w:rFonts w:asciiTheme="minorHAnsi" w:hAnsiTheme="minorHAnsi" w:cs="Arial"/>
                <w:b/>
                <w:bCs/>
                <w:sz w:val="22"/>
                <w:szCs w:val="22"/>
                <w:lang w:eastAsia="en-GB"/>
              </w:rPr>
            </w:pPr>
            <w:r w:rsidRPr="001D52A0">
              <w:rPr>
                <w:rFonts w:asciiTheme="minorHAnsi" w:hAnsiTheme="minorHAnsi" w:cs="Arial"/>
                <w:b/>
                <w:sz w:val="22"/>
                <w:szCs w:val="22"/>
              </w:rPr>
              <w:t>28,956</w:t>
            </w:r>
          </w:p>
        </w:tc>
      </w:tr>
      <w:tr w:rsidR="00BA6419" w:rsidRPr="001D52A0" w14:paraId="7F35FE3F" w14:textId="77777777" w:rsidTr="003842FA">
        <w:trPr>
          <w:trHeight w:val="593"/>
        </w:trPr>
        <w:tc>
          <w:tcPr>
            <w:tcW w:w="6748" w:type="dxa"/>
            <w:hideMark/>
          </w:tcPr>
          <w:p w14:paraId="49E2D250" w14:textId="77777777" w:rsidR="00BA6419" w:rsidRPr="001D52A0" w:rsidRDefault="00BA6419" w:rsidP="00BA6419">
            <w:pPr>
              <w:autoSpaceDE w:val="0"/>
              <w:autoSpaceDN w:val="0"/>
              <w:adjustRightInd w:val="0"/>
              <w:jc w:val="both"/>
              <w:rPr>
                <w:rFonts w:asciiTheme="minorHAnsi" w:hAnsiTheme="minorHAnsi" w:cs="Arial"/>
                <w:sz w:val="22"/>
                <w:szCs w:val="22"/>
                <w:lang w:eastAsia="en-GB"/>
              </w:rPr>
            </w:pPr>
            <w:r w:rsidRPr="001D52A0">
              <w:rPr>
                <w:rFonts w:asciiTheme="minorHAnsi" w:hAnsiTheme="minorHAnsi" w:cs="Arial"/>
                <w:sz w:val="22"/>
                <w:szCs w:val="22"/>
                <w:lang w:eastAsia="en-GB"/>
              </w:rPr>
              <w:t>PPP income committed for WLWA programme of work</w:t>
            </w:r>
          </w:p>
        </w:tc>
        <w:tc>
          <w:tcPr>
            <w:tcW w:w="1323" w:type="dxa"/>
            <w:hideMark/>
          </w:tcPr>
          <w:p w14:paraId="1DAB34E9" w14:textId="02435B16" w:rsidR="00BA6419" w:rsidRPr="001D52A0" w:rsidRDefault="00BA6419" w:rsidP="00BA6419">
            <w:pPr>
              <w:autoSpaceDE w:val="0"/>
              <w:autoSpaceDN w:val="0"/>
              <w:adjustRightInd w:val="0"/>
              <w:jc w:val="center"/>
              <w:rPr>
                <w:rFonts w:asciiTheme="minorHAnsi" w:hAnsiTheme="minorHAnsi" w:cs="Arial"/>
                <w:sz w:val="22"/>
                <w:szCs w:val="22"/>
                <w:lang w:eastAsia="en-GB"/>
              </w:rPr>
            </w:pPr>
            <w:r w:rsidRPr="001D52A0">
              <w:rPr>
                <w:rFonts w:asciiTheme="minorHAnsi" w:hAnsiTheme="minorHAnsi" w:cs="Arial"/>
                <w:sz w:val="22"/>
                <w:szCs w:val="22"/>
              </w:rPr>
              <w:t>0</w:t>
            </w:r>
          </w:p>
        </w:tc>
        <w:tc>
          <w:tcPr>
            <w:tcW w:w="1059" w:type="dxa"/>
            <w:hideMark/>
          </w:tcPr>
          <w:p w14:paraId="4C198D0F" w14:textId="33CEBACE" w:rsidR="00BA6419" w:rsidRPr="001D52A0" w:rsidRDefault="00BA6419" w:rsidP="00BA6419">
            <w:pPr>
              <w:autoSpaceDE w:val="0"/>
              <w:autoSpaceDN w:val="0"/>
              <w:adjustRightInd w:val="0"/>
              <w:jc w:val="center"/>
              <w:rPr>
                <w:rFonts w:asciiTheme="minorHAnsi" w:hAnsiTheme="minorHAnsi" w:cs="Arial"/>
                <w:sz w:val="22"/>
                <w:szCs w:val="22"/>
                <w:lang w:eastAsia="en-GB"/>
              </w:rPr>
            </w:pPr>
            <w:r w:rsidRPr="001D52A0">
              <w:rPr>
                <w:rFonts w:asciiTheme="minorHAnsi" w:hAnsiTheme="minorHAnsi" w:cs="Arial"/>
                <w:sz w:val="22"/>
                <w:szCs w:val="22"/>
              </w:rPr>
              <w:t>(2,367)</w:t>
            </w:r>
          </w:p>
        </w:tc>
        <w:tc>
          <w:tcPr>
            <w:tcW w:w="1191" w:type="dxa"/>
            <w:hideMark/>
          </w:tcPr>
          <w:p w14:paraId="0B455E0E" w14:textId="0AC99736" w:rsidR="00BA6419" w:rsidRPr="001D52A0" w:rsidRDefault="00BA6419" w:rsidP="00BA6419">
            <w:pPr>
              <w:autoSpaceDE w:val="0"/>
              <w:autoSpaceDN w:val="0"/>
              <w:adjustRightInd w:val="0"/>
              <w:jc w:val="center"/>
              <w:rPr>
                <w:rFonts w:asciiTheme="minorHAnsi" w:hAnsiTheme="minorHAnsi" w:cs="Arial"/>
                <w:sz w:val="22"/>
                <w:szCs w:val="22"/>
                <w:lang w:eastAsia="en-GB"/>
              </w:rPr>
            </w:pPr>
            <w:r w:rsidRPr="001D52A0">
              <w:rPr>
                <w:rFonts w:asciiTheme="minorHAnsi" w:hAnsiTheme="minorHAnsi" w:cs="Arial"/>
                <w:sz w:val="22"/>
                <w:szCs w:val="22"/>
              </w:rPr>
              <w:t>(2,367)</w:t>
            </w:r>
          </w:p>
        </w:tc>
      </w:tr>
      <w:tr w:rsidR="00BA6419" w:rsidRPr="001D52A0" w14:paraId="5338AA20" w14:textId="77777777" w:rsidTr="003842FA">
        <w:trPr>
          <w:trHeight w:val="296"/>
        </w:trPr>
        <w:tc>
          <w:tcPr>
            <w:tcW w:w="6748" w:type="dxa"/>
            <w:hideMark/>
          </w:tcPr>
          <w:p w14:paraId="5567BBCF" w14:textId="77777777" w:rsidR="00BA6419" w:rsidRPr="001D52A0" w:rsidRDefault="00BA6419" w:rsidP="00BA6419">
            <w:pPr>
              <w:autoSpaceDE w:val="0"/>
              <w:autoSpaceDN w:val="0"/>
              <w:adjustRightInd w:val="0"/>
              <w:jc w:val="both"/>
              <w:rPr>
                <w:rFonts w:asciiTheme="minorHAnsi" w:hAnsiTheme="minorHAnsi" w:cs="Arial"/>
                <w:sz w:val="22"/>
                <w:szCs w:val="22"/>
                <w:lang w:eastAsia="en-GB"/>
              </w:rPr>
            </w:pPr>
            <w:r w:rsidRPr="001D52A0">
              <w:rPr>
                <w:rFonts w:asciiTheme="minorHAnsi" w:hAnsiTheme="minorHAnsi" w:cs="Arial"/>
                <w:sz w:val="22"/>
                <w:szCs w:val="22"/>
                <w:lang w:eastAsia="en-GB"/>
              </w:rPr>
              <w:t>Forecast surplus 2024/25</w:t>
            </w:r>
          </w:p>
        </w:tc>
        <w:tc>
          <w:tcPr>
            <w:tcW w:w="1323" w:type="dxa"/>
            <w:hideMark/>
          </w:tcPr>
          <w:p w14:paraId="079CD709" w14:textId="7EF86793" w:rsidR="00BA6419" w:rsidRPr="001D52A0" w:rsidRDefault="00BA6419" w:rsidP="00BA6419">
            <w:pPr>
              <w:autoSpaceDE w:val="0"/>
              <w:autoSpaceDN w:val="0"/>
              <w:adjustRightInd w:val="0"/>
              <w:jc w:val="center"/>
              <w:rPr>
                <w:rFonts w:asciiTheme="minorHAnsi" w:hAnsiTheme="minorHAnsi" w:cs="Arial"/>
                <w:sz w:val="22"/>
                <w:szCs w:val="22"/>
                <w:lang w:eastAsia="en-GB"/>
              </w:rPr>
            </w:pPr>
            <w:r w:rsidRPr="001D52A0">
              <w:rPr>
                <w:rFonts w:asciiTheme="minorHAnsi" w:hAnsiTheme="minorHAnsi" w:cs="Arial"/>
                <w:sz w:val="22"/>
                <w:szCs w:val="22"/>
              </w:rPr>
              <w:t>0</w:t>
            </w:r>
          </w:p>
        </w:tc>
        <w:tc>
          <w:tcPr>
            <w:tcW w:w="1059" w:type="dxa"/>
            <w:hideMark/>
          </w:tcPr>
          <w:p w14:paraId="26F217CA" w14:textId="181DF482" w:rsidR="00BA6419" w:rsidRPr="001D52A0" w:rsidRDefault="00BA6419" w:rsidP="00BA6419">
            <w:pPr>
              <w:autoSpaceDE w:val="0"/>
              <w:autoSpaceDN w:val="0"/>
              <w:adjustRightInd w:val="0"/>
              <w:jc w:val="center"/>
              <w:rPr>
                <w:rFonts w:asciiTheme="minorHAnsi" w:hAnsiTheme="minorHAnsi" w:cs="Arial"/>
                <w:sz w:val="22"/>
                <w:szCs w:val="22"/>
                <w:lang w:eastAsia="en-GB"/>
              </w:rPr>
            </w:pPr>
            <w:r w:rsidRPr="001D52A0">
              <w:rPr>
                <w:rFonts w:asciiTheme="minorHAnsi" w:hAnsiTheme="minorHAnsi" w:cs="Arial"/>
                <w:sz w:val="22"/>
                <w:szCs w:val="22"/>
              </w:rPr>
              <w:t>0</w:t>
            </w:r>
          </w:p>
        </w:tc>
        <w:tc>
          <w:tcPr>
            <w:tcW w:w="1191" w:type="dxa"/>
            <w:hideMark/>
          </w:tcPr>
          <w:p w14:paraId="3087579B" w14:textId="54A5BCF3" w:rsidR="00BA6419" w:rsidRPr="001D52A0" w:rsidRDefault="00BA6419" w:rsidP="00BA6419">
            <w:pPr>
              <w:autoSpaceDE w:val="0"/>
              <w:autoSpaceDN w:val="0"/>
              <w:adjustRightInd w:val="0"/>
              <w:jc w:val="center"/>
              <w:rPr>
                <w:rFonts w:asciiTheme="minorHAnsi" w:hAnsiTheme="minorHAnsi" w:cs="Arial"/>
                <w:sz w:val="22"/>
                <w:szCs w:val="22"/>
                <w:lang w:eastAsia="en-GB"/>
              </w:rPr>
            </w:pPr>
            <w:r w:rsidRPr="001D52A0">
              <w:rPr>
                <w:rFonts w:asciiTheme="minorHAnsi" w:hAnsiTheme="minorHAnsi" w:cs="Arial"/>
                <w:sz w:val="22"/>
                <w:szCs w:val="22"/>
              </w:rPr>
              <w:t>0</w:t>
            </w:r>
          </w:p>
        </w:tc>
      </w:tr>
      <w:tr w:rsidR="00BA6419" w:rsidRPr="001D52A0" w14:paraId="48868074" w14:textId="77777777" w:rsidTr="003842FA">
        <w:trPr>
          <w:trHeight w:val="311"/>
        </w:trPr>
        <w:tc>
          <w:tcPr>
            <w:tcW w:w="6748" w:type="dxa"/>
            <w:hideMark/>
          </w:tcPr>
          <w:p w14:paraId="3FE37F24" w14:textId="77777777" w:rsidR="00BA6419" w:rsidRPr="001D52A0" w:rsidRDefault="00BA6419" w:rsidP="00BA6419">
            <w:pPr>
              <w:autoSpaceDE w:val="0"/>
              <w:autoSpaceDN w:val="0"/>
              <w:adjustRightInd w:val="0"/>
              <w:jc w:val="both"/>
              <w:rPr>
                <w:rFonts w:asciiTheme="minorHAnsi" w:hAnsiTheme="minorHAnsi" w:cs="Arial"/>
                <w:b/>
                <w:bCs/>
                <w:sz w:val="22"/>
                <w:szCs w:val="22"/>
                <w:lang w:eastAsia="en-GB"/>
              </w:rPr>
            </w:pPr>
            <w:r w:rsidRPr="001D52A0">
              <w:rPr>
                <w:rFonts w:asciiTheme="minorHAnsi" w:hAnsiTheme="minorHAnsi" w:cs="Arial"/>
                <w:b/>
                <w:bCs/>
                <w:sz w:val="22"/>
                <w:szCs w:val="22"/>
                <w:lang w:eastAsia="en-GB"/>
              </w:rPr>
              <w:t>Forecast position for 31 March 2025</w:t>
            </w:r>
          </w:p>
        </w:tc>
        <w:tc>
          <w:tcPr>
            <w:tcW w:w="1323" w:type="dxa"/>
            <w:hideMark/>
          </w:tcPr>
          <w:p w14:paraId="1591690A" w14:textId="49D075B1" w:rsidR="00BA6419" w:rsidRPr="001D52A0" w:rsidRDefault="00AF32C4" w:rsidP="00BA6419">
            <w:pPr>
              <w:autoSpaceDE w:val="0"/>
              <w:autoSpaceDN w:val="0"/>
              <w:adjustRightInd w:val="0"/>
              <w:jc w:val="center"/>
              <w:rPr>
                <w:rFonts w:asciiTheme="minorHAnsi" w:hAnsiTheme="minorHAnsi" w:cs="Arial"/>
                <w:b/>
                <w:bCs/>
                <w:sz w:val="22"/>
                <w:szCs w:val="22"/>
                <w:lang w:eastAsia="en-GB"/>
              </w:rPr>
            </w:pPr>
            <w:r w:rsidRPr="001D52A0">
              <w:rPr>
                <w:rFonts w:asciiTheme="minorHAnsi" w:hAnsiTheme="minorHAnsi" w:cs="Arial"/>
                <w:b/>
                <w:sz w:val="22"/>
                <w:szCs w:val="22"/>
              </w:rPr>
              <w:t>16,942</w:t>
            </w:r>
          </w:p>
        </w:tc>
        <w:tc>
          <w:tcPr>
            <w:tcW w:w="1059" w:type="dxa"/>
            <w:hideMark/>
          </w:tcPr>
          <w:p w14:paraId="067759C3" w14:textId="5EAD5FA2" w:rsidR="00BA6419" w:rsidRPr="001D52A0" w:rsidRDefault="00AF32C4" w:rsidP="00BA6419">
            <w:pPr>
              <w:autoSpaceDE w:val="0"/>
              <w:autoSpaceDN w:val="0"/>
              <w:adjustRightInd w:val="0"/>
              <w:jc w:val="center"/>
              <w:rPr>
                <w:rFonts w:asciiTheme="minorHAnsi" w:hAnsiTheme="minorHAnsi" w:cs="Arial"/>
                <w:b/>
                <w:bCs/>
                <w:sz w:val="22"/>
                <w:szCs w:val="22"/>
                <w:lang w:eastAsia="en-GB"/>
              </w:rPr>
            </w:pPr>
            <w:r w:rsidRPr="001D52A0">
              <w:rPr>
                <w:rFonts w:asciiTheme="minorHAnsi" w:hAnsiTheme="minorHAnsi" w:cs="Arial"/>
                <w:b/>
                <w:sz w:val="22"/>
                <w:szCs w:val="22"/>
              </w:rPr>
              <w:t>9,648</w:t>
            </w:r>
          </w:p>
        </w:tc>
        <w:tc>
          <w:tcPr>
            <w:tcW w:w="1191" w:type="dxa"/>
            <w:hideMark/>
          </w:tcPr>
          <w:p w14:paraId="2BBB3900" w14:textId="67D1F6C3" w:rsidR="00BA6419" w:rsidRPr="001D52A0" w:rsidRDefault="00AF32C4" w:rsidP="00BA6419">
            <w:pPr>
              <w:autoSpaceDE w:val="0"/>
              <w:autoSpaceDN w:val="0"/>
              <w:adjustRightInd w:val="0"/>
              <w:jc w:val="center"/>
              <w:rPr>
                <w:rFonts w:asciiTheme="minorHAnsi" w:hAnsiTheme="minorHAnsi" w:cs="Arial"/>
                <w:b/>
                <w:bCs/>
                <w:sz w:val="22"/>
                <w:szCs w:val="22"/>
                <w:lang w:eastAsia="en-GB"/>
              </w:rPr>
            </w:pPr>
            <w:r w:rsidRPr="001D52A0">
              <w:rPr>
                <w:rFonts w:asciiTheme="minorHAnsi" w:hAnsiTheme="minorHAnsi" w:cs="Arial"/>
                <w:b/>
                <w:sz w:val="22"/>
                <w:szCs w:val="22"/>
              </w:rPr>
              <w:t>26,590</w:t>
            </w:r>
          </w:p>
        </w:tc>
      </w:tr>
    </w:tbl>
    <w:p w14:paraId="77B15E31" w14:textId="49BEA7C0" w:rsidR="00E2366A" w:rsidRPr="001D52A0" w:rsidRDefault="00C101F7" w:rsidP="004E4209">
      <w:pPr>
        <w:numPr>
          <w:ilvl w:val="1"/>
          <w:numId w:val="24"/>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 xml:space="preserve">In the table above the reserves have been split out to provide transparency of the </w:t>
      </w:r>
      <w:r w:rsidR="00A83FAC" w:rsidRPr="001D52A0">
        <w:rPr>
          <w:rFonts w:asciiTheme="minorHAnsi" w:hAnsiTheme="minorHAnsi" w:cs="Arial"/>
          <w:sz w:val="22"/>
          <w:szCs w:val="22"/>
        </w:rPr>
        <w:t>build-up</w:t>
      </w:r>
      <w:r w:rsidRPr="001D52A0">
        <w:rPr>
          <w:rFonts w:asciiTheme="minorHAnsi" w:hAnsiTheme="minorHAnsi" w:cs="Arial"/>
          <w:sz w:val="22"/>
          <w:szCs w:val="22"/>
        </w:rPr>
        <w:t xml:space="preserve"> and use of reserves generated from PPP income. </w:t>
      </w:r>
      <w:r w:rsidR="00E2366A" w:rsidRPr="001D52A0">
        <w:rPr>
          <w:rFonts w:asciiTheme="minorHAnsi" w:hAnsiTheme="minorHAnsi" w:cs="Arial"/>
          <w:sz w:val="22"/>
          <w:szCs w:val="22"/>
        </w:rPr>
        <w:t xml:space="preserve">The above table shows the </w:t>
      </w:r>
      <w:r w:rsidR="00E76BA4" w:rsidRPr="001D52A0">
        <w:rPr>
          <w:rFonts w:asciiTheme="minorHAnsi" w:hAnsiTheme="minorHAnsi" w:cs="Arial"/>
          <w:sz w:val="22"/>
          <w:szCs w:val="22"/>
        </w:rPr>
        <w:t xml:space="preserve">expected </w:t>
      </w:r>
      <w:r w:rsidR="00E2366A" w:rsidRPr="001D52A0">
        <w:rPr>
          <w:rFonts w:asciiTheme="minorHAnsi" w:hAnsiTheme="minorHAnsi" w:cs="Arial"/>
          <w:sz w:val="22"/>
          <w:szCs w:val="22"/>
        </w:rPr>
        <w:t>PPP income of £</w:t>
      </w:r>
      <w:r w:rsidR="00C148CE" w:rsidRPr="001D52A0">
        <w:rPr>
          <w:rFonts w:asciiTheme="minorHAnsi" w:hAnsiTheme="minorHAnsi" w:cs="Arial"/>
          <w:sz w:val="22"/>
          <w:szCs w:val="22"/>
        </w:rPr>
        <w:t>6.</w:t>
      </w:r>
      <w:r w:rsidR="00AF32C4" w:rsidRPr="001D52A0">
        <w:rPr>
          <w:rFonts w:asciiTheme="minorHAnsi" w:hAnsiTheme="minorHAnsi" w:cs="Arial"/>
          <w:sz w:val="22"/>
          <w:szCs w:val="22"/>
        </w:rPr>
        <w:t>3</w:t>
      </w:r>
      <w:r w:rsidR="00E2366A" w:rsidRPr="001D52A0">
        <w:rPr>
          <w:rFonts w:asciiTheme="minorHAnsi" w:hAnsiTheme="minorHAnsi" w:cs="Arial"/>
          <w:sz w:val="22"/>
          <w:szCs w:val="22"/>
        </w:rPr>
        <w:t xml:space="preserve"> million </w:t>
      </w:r>
      <w:r w:rsidR="00E76BA4" w:rsidRPr="001D52A0">
        <w:rPr>
          <w:rFonts w:asciiTheme="minorHAnsi" w:hAnsiTheme="minorHAnsi" w:cs="Arial"/>
          <w:sz w:val="22"/>
          <w:szCs w:val="22"/>
        </w:rPr>
        <w:t>being shared in accordance with the Finance Strategy. £</w:t>
      </w:r>
      <w:r w:rsidR="00C148CE" w:rsidRPr="001D52A0">
        <w:rPr>
          <w:rFonts w:asciiTheme="minorHAnsi" w:hAnsiTheme="minorHAnsi" w:cs="Arial"/>
          <w:sz w:val="22"/>
          <w:szCs w:val="22"/>
        </w:rPr>
        <w:t>4.</w:t>
      </w:r>
      <w:r w:rsidR="00AF32C4" w:rsidRPr="001D52A0">
        <w:rPr>
          <w:rFonts w:asciiTheme="minorHAnsi" w:hAnsiTheme="minorHAnsi" w:cs="Arial"/>
          <w:sz w:val="22"/>
          <w:szCs w:val="22"/>
        </w:rPr>
        <w:t>2</w:t>
      </w:r>
      <w:r w:rsidR="00E76BA4" w:rsidRPr="001D52A0">
        <w:rPr>
          <w:rFonts w:asciiTheme="minorHAnsi" w:hAnsiTheme="minorHAnsi" w:cs="Arial"/>
          <w:sz w:val="22"/>
          <w:szCs w:val="22"/>
        </w:rPr>
        <w:t xml:space="preserve"> million will be paid to boroughs following receipt of funds from the contractor (July 202</w:t>
      </w:r>
      <w:r w:rsidR="00AF32C4" w:rsidRPr="001D52A0">
        <w:rPr>
          <w:rFonts w:asciiTheme="minorHAnsi" w:hAnsiTheme="minorHAnsi" w:cs="Arial"/>
          <w:sz w:val="22"/>
          <w:szCs w:val="22"/>
        </w:rPr>
        <w:t>4</w:t>
      </w:r>
      <w:r w:rsidR="00E76BA4" w:rsidRPr="001D52A0">
        <w:rPr>
          <w:rFonts w:asciiTheme="minorHAnsi" w:hAnsiTheme="minorHAnsi" w:cs="Arial"/>
          <w:sz w:val="22"/>
          <w:szCs w:val="22"/>
        </w:rPr>
        <w:t>) and £</w:t>
      </w:r>
      <w:r w:rsidR="00AF32C4" w:rsidRPr="001D52A0">
        <w:rPr>
          <w:rFonts w:asciiTheme="minorHAnsi" w:hAnsiTheme="minorHAnsi" w:cs="Arial"/>
          <w:sz w:val="22"/>
          <w:szCs w:val="22"/>
        </w:rPr>
        <w:t>2.1</w:t>
      </w:r>
      <w:r w:rsidR="00E76BA4" w:rsidRPr="001D52A0">
        <w:rPr>
          <w:rFonts w:asciiTheme="minorHAnsi" w:hAnsiTheme="minorHAnsi" w:cs="Arial"/>
          <w:sz w:val="22"/>
          <w:szCs w:val="22"/>
        </w:rPr>
        <w:t xml:space="preserve"> million retained by the Authority. </w:t>
      </w:r>
    </w:p>
    <w:p w14:paraId="6A777F6D" w14:textId="4964582E" w:rsidR="001E7D2B" w:rsidRPr="001D52A0" w:rsidRDefault="007E0375" w:rsidP="004E4209">
      <w:pPr>
        <w:numPr>
          <w:ilvl w:val="1"/>
          <w:numId w:val="24"/>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lang w:eastAsia="en-GB"/>
        </w:rPr>
        <w:t xml:space="preserve">Provided that no risks materialise </w:t>
      </w:r>
      <w:r w:rsidR="004A15F0" w:rsidRPr="001D52A0">
        <w:rPr>
          <w:rFonts w:asciiTheme="minorHAnsi" w:hAnsiTheme="minorHAnsi" w:cs="Arial"/>
          <w:sz w:val="22"/>
          <w:szCs w:val="22"/>
          <w:lang w:eastAsia="en-GB"/>
        </w:rPr>
        <w:t xml:space="preserve">the </w:t>
      </w:r>
      <w:r w:rsidR="00E2366A" w:rsidRPr="001D52A0">
        <w:rPr>
          <w:rFonts w:asciiTheme="minorHAnsi" w:hAnsiTheme="minorHAnsi" w:cs="Arial"/>
          <w:sz w:val="22"/>
          <w:szCs w:val="22"/>
          <w:lang w:eastAsia="en-GB"/>
        </w:rPr>
        <w:t xml:space="preserve">closing </w:t>
      </w:r>
      <w:r w:rsidR="004A15F0" w:rsidRPr="001D52A0">
        <w:rPr>
          <w:rFonts w:asciiTheme="minorHAnsi" w:hAnsiTheme="minorHAnsi" w:cs="Arial"/>
          <w:sz w:val="22"/>
          <w:szCs w:val="22"/>
          <w:lang w:eastAsia="en-GB"/>
        </w:rPr>
        <w:t xml:space="preserve">reserves </w:t>
      </w:r>
      <w:r w:rsidR="00E2366A" w:rsidRPr="001D52A0">
        <w:rPr>
          <w:rFonts w:asciiTheme="minorHAnsi" w:hAnsiTheme="minorHAnsi" w:cs="Arial"/>
          <w:sz w:val="22"/>
          <w:szCs w:val="22"/>
          <w:lang w:eastAsia="en-GB"/>
        </w:rPr>
        <w:t xml:space="preserve">balance </w:t>
      </w:r>
      <w:r w:rsidR="004A15F0" w:rsidRPr="001D52A0">
        <w:rPr>
          <w:rFonts w:asciiTheme="minorHAnsi" w:hAnsiTheme="minorHAnsi" w:cs="Arial"/>
          <w:sz w:val="22"/>
          <w:szCs w:val="22"/>
          <w:lang w:eastAsia="en-GB"/>
        </w:rPr>
        <w:t xml:space="preserve">to manage risks </w:t>
      </w:r>
      <w:r w:rsidR="00E2366A" w:rsidRPr="001D52A0">
        <w:rPr>
          <w:rFonts w:asciiTheme="minorHAnsi" w:hAnsiTheme="minorHAnsi" w:cs="Arial"/>
          <w:sz w:val="22"/>
          <w:szCs w:val="22"/>
          <w:lang w:eastAsia="en-GB"/>
        </w:rPr>
        <w:t>of £</w:t>
      </w:r>
      <w:r w:rsidR="00C75DFB" w:rsidRPr="001D52A0">
        <w:rPr>
          <w:rFonts w:asciiTheme="minorHAnsi" w:hAnsiTheme="minorHAnsi" w:cs="Arial"/>
          <w:sz w:val="22"/>
          <w:szCs w:val="22"/>
          <w:lang w:eastAsia="en-GB"/>
        </w:rPr>
        <w:t>27</w:t>
      </w:r>
      <w:r w:rsidR="00F65972" w:rsidRPr="001D52A0">
        <w:rPr>
          <w:rFonts w:asciiTheme="minorHAnsi" w:hAnsiTheme="minorHAnsi" w:cs="Arial"/>
          <w:sz w:val="22"/>
          <w:szCs w:val="22"/>
          <w:lang w:eastAsia="en-GB"/>
        </w:rPr>
        <w:t xml:space="preserve"> million</w:t>
      </w:r>
      <w:r w:rsidR="00C75DFB" w:rsidRPr="001D52A0">
        <w:rPr>
          <w:rFonts w:asciiTheme="minorHAnsi" w:hAnsiTheme="minorHAnsi" w:cs="Arial"/>
          <w:sz w:val="22"/>
          <w:szCs w:val="22"/>
          <w:lang w:eastAsia="en-GB"/>
        </w:rPr>
        <w:t xml:space="preserve"> (inclusive of the one third PPP income retained by WLWA) is close to the </w:t>
      </w:r>
      <w:r w:rsidR="00CE223A" w:rsidRPr="001D52A0">
        <w:rPr>
          <w:rFonts w:asciiTheme="minorHAnsi" w:hAnsiTheme="minorHAnsi" w:cs="Arial"/>
          <w:sz w:val="22"/>
          <w:szCs w:val="22"/>
          <w:lang w:eastAsia="en-GB"/>
        </w:rPr>
        <w:t>reserves needed to manage risks</w:t>
      </w:r>
      <w:r w:rsidR="00F65972" w:rsidRPr="001D52A0">
        <w:rPr>
          <w:rFonts w:asciiTheme="minorHAnsi" w:hAnsiTheme="minorHAnsi" w:cs="Arial"/>
          <w:sz w:val="22"/>
          <w:szCs w:val="22"/>
          <w:lang w:eastAsia="en-GB"/>
        </w:rPr>
        <w:t>. It is proposed that there are no excess reserves to be disbursed back to boroughs.</w:t>
      </w:r>
    </w:p>
    <w:p w14:paraId="05605BBB" w14:textId="1303967B" w:rsidR="00E2366A" w:rsidRPr="001D52A0" w:rsidRDefault="001E7D2B" w:rsidP="004E4209">
      <w:pPr>
        <w:numPr>
          <w:ilvl w:val="1"/>
          <w:numId w:val="24"/>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In comparison other London waste Authorities hold reserves ranging from £31 million to £</w:t>
      </w:r>
      <w:r w:rsidR="00F65972" w:rsidRPr="001D52A0">
        <w:rPr>
          <w:rFonts w:asciiTheme="minorHAnsi" w:hAnsiTheme="minorHAnsi" w:cs="Arial"/>
          <w:sz w:val="22"/>
          <w:szCs w:val="22"/>
        </w:rPr>
        <w:t>86</w:t>
      </w:r>
      <w:r w:rsidRPr="001D52A0">
        <w:rPr>
          <w:rFonts w:asciiTheme="minorHAnsi" w:hAnsiTheme="minorHAnsi" w:cs="Arial"/>
          <w:sz w:val="22"/>
          <w:szCs w:val="22"/>
        </w:rPr>
        <w:t xml:space="preserve"> million. </w:t>
      </w:r>
      <w:r w:rsidR="00FF165B" w:rsidRPr="001D52A0">
        <w:rPr>
          <w:rFonts w:asciiTheme="minorHAnsi" w:hAnsiTheme="minorHAnsi" w:cs="Arial"/>
          <w:sz w:val="22"/>
          <w:szCs w:val="22"/>
        </w:rPr>
        <w:t xml:space="preserve">This reflects the </w:t>
      </w:r>
      <w:r w:rsidRPr="001D52A0">
        <w:rPr>
          <w:rFonts w:asciiTheme="minorHAnsi" w:hAnsiTheme="minorHAnsi" w:cs="Arial"/>
          <w:sz w:val="22"/>
          <w:szCs w:val="22"/>
        </w:rPr>
        <w:t>Authority</w:t>
      </w:r>
      <w:r w:rsidR="00FF165B" w:rsidRPr="001D52A0">
        <w:rPr>
          <w:rFonts w:asciiTheme="minorHAnsi" w:hAnsiTheme="minorHAnsi" w:cs="Arial"/>
          <w:sz w:val="22"/>
          <w:szCs w:val="22"/>
        </w:rPr>
        <w:t>’s</w:t>
      </w:r>
      <w:r w:rsidRPr="001D52A0">
        <w:rPr>
          <w:rFonts w:asciiTheme="minorHAnsi" w:hAnsiTheme="minorHAnsi" w:cs="Arial"/>
          <w:sz w:val="22"/>
          <w:szCs w:val="22"/>
        </w:rPr>
        <w:t xml:space="preserve"> </w:t>
      </w:r>
      <w:r w:rsidR="00FF165B" w:rsidRPr="001D52A0">
        <w:rPr>
          <w:rFonts w:asciiTheme="minorHAnsi" w:hAnsiTheme="minorHAnsi" w:cs="Arial"/>
          <w:sz w:val="22"/>
          <w:szCs w:val="22"/>
        </w:rPr>
        <w:t xml:space="preserve">strong </w:t>
      </w:r>
      <w:r w:rsidRPr="001D52A0">
        <w:rPr>
          <w:rFonts w:asciiTheme="minorHAnsi" w:hAnsiTheme="minorHAnsi" w:cs="Arial"/>
          <w:sz w:val="22"/>
          <w:szCs w:val="22"/>
        </w:rPr>
        <w:t>history of passing on excess reserves to boroughs</w:t>
      </w:r>
      <w:r w:rsidR="008C1D01" w:rsidRPr="001D52A0">
        <w:rPr>
          <w:rFonts w:asciiTheme="minorHAnsi" w:hAnsiTheme="minorHAnsi" w:cs="Arial"/>
          <w:sz w:val="22"/>
          <w:szCs w:val="22"/>
        </w:rPr>
        <w:t>.</w:t>
      </w:r>
      <w:r w:rsidRPr="001D52A0">
        <w:rPr>
          <w:rFonts w:asciiTheme="minorHAnsi" w:hAnsiTheme="minorHAnsi" w:cs="Arial"/>
          <w:sz w:val="22"/>
          <w:szCs w:val="22"/>
        </w:rPr>
        <w:t xml:space="preserve"> </w:t>
      </w:r>
    </w:p>
    <w:p w14:paraId="21772D46" w14:textId="040447C0" w:rsidR="00281334" w:rsidRPr="001D52A0" w:rsidRDefault="00FF165B" w:rsidP="007E7C53">
      <w:pPr>
        <w:numPr>
          <w:ilvl w:val="1"/>
          <w:numId w:val="24"/>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A further £1.</w:t>
      </w:r>
      <w:r w:rsidR="00200713" w:rsidRPr="001D52A0">
        <w:rPr>
          <w:rFonts w:asciiTheme="minorHAnsi" w:hAnsiTheme="minorHAnsi" w:cs="Arial"/>
          <w:sz w:val="22"/>
          <w:szCs w:val="22"/>
        </w:rPr>
        <w:t>24</w:t>
      </w:r>
      <w:r w:rsidRPr="001D52A0">
        <w:rPr>
          <w:rFonts w:asciiTheme="minorHAnsi" w:hAnsiTheme="minorHAnsi" w:cs="Arial"/>
          <w:sz w:val="22"/>
          <w:szCs w:val="22"/>
        </w:rPr>
        <w:t xml:space="preserve"> million will be utilised </w:t>
      </w:r>
      <w:r w:rsidR="00200713" w:rsidRPr="001D52A0">
        <w:rPr>
          <w:rFonts w:asciiTheme="minorHAnsi" w:hAnsiTheme="minorHAnsi" w:cs="Arial"/>
          <w:sz w:val="22"/>
          <w:szCs w:val="22"/>
        </w:rPr>
        <w:t>for the programmes identified in 20234/24 to be funded from the PPP income retained by WLWA.  The total budget for the programmes is £2.8 million over the three years.</w:t>
      </w:r>
    </w:p>
    <w:p w14:paraId="40204FBC" w14:textId="77777777" w:rsidR="00844232" w:rsidRPr="001D52A0" w:rsidRDefault="00844232" w:rsidP="00747CD0">
      <w:pPr>
        <w:numPr>
          <w:ilvl w:val="0"/>
          <w:numId w:val="24"/>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b/>
          <w:sz w:val="22"/>
          <w:szCs w:val="22"/>
          <w:lang w:val="en-US"/>
        </w:rPr>
        <w:lastRenderedPageBreak/>
        <w:t xml:space="preserve">Medium and Long Term Plan </w:t>
      </w:r>
    </w:p>
    <w:p w14:paraId="329FC547" w14:textId="56794F3F" w:rsidR="00844232" w:rsidRPr="001D52A0" w:rsidRDefault="00844232" w:rsidP="00747CD0">
      <w:pPr>
        <w:numPr>
          <w:ilvl w:val="1"/>
          <w:numId w:val="24"/>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 xml:space="preserve">The plan has been updated to incorporate the proposed budget and uses long term base case assumptions of 0.5% for the annual growth in residual tonnages to reflect population increases, and 3.0% for long term inflation (3.0% was used last year) which is higher than the long term HM Treasury target of 2.0%. </w:t>
      </w:r>
    </w:p>
    <w:p w14:paraId="365FF070" w14:textId="77777777" w:rsidR="00844232" w:rsidRPr="001D52A0" w:rsidRDefault="00844232" w:rsidP="00747CD0">
      <w:pPr>
        <w:numPr>
          <w:ilvl w:val="1"/>
          <w:numId w:val="24"/>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The key outputs can be found in Appendix 1 and this shows a healthy financial position. The assumptions are then flexed to identify the key factors effecting the Authority’s finances. This identifies changes in the residual waste tonnages as the key strategic factor determining the growth in costs and levies. Inflation has less impact (although still significant) as a cost driver as a result of the dampening effect of the PPP contract pricing mechanism.</w:t>
      </w:r>
    </w:p>
    <w:p w14:paraId="1997C2A5" w14:textId="77777777" w:rsidR="00844232" w:rsidRPr="001D52A0" w:rsidRDefault="00844232" w:rsidP="00747CD0">
      <w:pPr>
        <w:numPr>
          <w:ilvl w:val="1"/>
          <w:numId w:val="24"/>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The key messages from the plan are consistent with last year and are positive.</w:t>
      </w:r>
    </w:p>
    <w:p w14:paraId="6E12F221" w14:textId="77777777" w:rsidR="00844232" w:rsidRPr="001D52A0" w:rsidRDefault="00844232" w:rsidP="00747CD0">
      <w:pPr>
        <w:numPr>
          <w:ilvl w:val="0"/>
          <w:numId w:val="11"/>
        </w:numPr>
        <w:autoSpaceDE w:val="0"/>
        <w:autoSpaceDN w:val="0"/>
        <w:adjustRightInd w:val="0"/>
        <w:jc w:val="both"/>
        <w:rPr>
          <w:rFonts w:asciiTheme="minorHAnsi" w:hAnsiTheme="minorHAnsi" w:cs="Arial"/>
          <w:sz w:val="22"/>
          <w:szCs w:val="22"/>
        </w:rPr>
      </w:pPr>
      <w:r w:rsidRPr="001D52A0">
        <w:rPr>
          <w:rFonts w:asciiTheme="minorHAnsi" w:hAnsiTheme="minorHAnsi" w:cs="Arial"/>
          <w:sz w:val="22"/>
          <w:szCs w:val="22"/>
        </w:rPr>
        <w:t>The volume of residual waste is the key driver of spend/levies, so its reduction should be a key area of strategic focus e.g. removing food waste from the residual waste stream being an important opportunity</w:t>
      </w:r>
    </w:p>
    <w:p w14:paraId="67DFD30C" w14:textId="77777777" w:rsidR="00844232" w:rsidRPr="001D52A0" w:rsidRDefault="00844232" w:rsidP="00747CD0">
      <w:pPr>
        <w:numPr>
          <w:ilvl w:val="0"/>
          <w:numId w:val="11"/>
        </w:numPr>
        <w:autoSpaceDE w:val="0"/>
        <w:autoSpaceDN w:val="0"/>
        <w:adjustRightInd w:val="0"/>
        <w:jc w:val="both"/>
        <w:rPr>
          <w:rFonts w:asciiTheme="minorHAnsi" w:hAnsiTheme="minorHAnsi" w:cs="Arial"/>
          <w:sz w:val="22"/>
          <w:szCs w:val="22"/>
        </w:rPr>
      </w:pPr>
      <w:r w:rsidRPr="001D52A0">
        <w:rPr>
          <w:rFonts w:asciiTheme="minorHAnsi" w:hAnsiTheme="minorHAnsi" w:cs="Arial"/>
          <w:sz w:val="22"/>
          <w:szCs w:val="22"/>
        </w:rPr>
        <w:t>The effect of inflation is dampened by the PPP contract</w:t>
      </w:r>
    </w:p>
    <w:p w14:paraId="10B06554" w14:textId="1B5CB3F7" w:rsidR="00844232" w:rsidRPr="001D52A0" w:rsidRDefault="00844232" w:rsidP="00747CD0">
      <w:pPr>
        <w:numPr>
          <w:ilvl w:val="0"/>
          <w:numId w:val="11"/>
        </w:numPr>
        <w:autoSpaceDE w:val="0"/>
        <w:autoSpaceDN w:val="0"/>
        <w:adjustRightInd w:val="0"/>
        <w:jc w:val="both"/>
        <w:rPr>
          <w:rFonts w:asciiTheme="minorHAnsi" w:hAnsiTheme="minorHAnsi" w:cs="Arial"/>
          <w:sz w:val="22"/>
          <w:szCs w:val="22"/>
        </w:rPr>
      </w:pPr>
      <w:r w:rsidRPr="001D52A0">
        <w:rPr>
          <w:rFonts w:asciiTheme="minorHAnsi" w:hAnsiTheme="minorHAnsi" w:cs="Arial"/>
          <w:sz w:val="22"/>
          <w:szCs w:val="22"/>
        </w:rPr>
        <w:t>The Authority will be debt free at the end of the plan and will maintain healthy cash balances to manage any liquidity risk</w:t>
      </w:r>
    </w:p>
    <w:p w14:paraId="4E70C0D4" w14:textId="77777777" w:rsidR="00844232" w:rsidRPr="001D52A0" w:rsidRDefault="00844232" w:rsidP="00844232">
      <w:pPr>
        <w:autoSpaceDE w:val="0"/>
        <w:autoSpaceDN w:val="0"/>
        <w:adjustRightInd w:val="0"/>
        <w:jc w:val="both"/>
        <w:rPr>
          <w:rFonts w:asciiTheme="minorHAnsi" w:hAnsiTheme="minorHAnsi" w:cs="Arial"/>
          <w:sz w:val="22"/>
          <w:szCs w:val="22"/>
        </w:rPr>
      </w:pPr>
    </w:p>
    <w:p w14:paraId="5A2C058E" w14:textId="77777777" w:rsidR="00844232" w:rsidRPr="001D52A0" w:rsidRDefault="00844232" w:rsidP="00747CD0">
      <w:pPr>
        <w:numPr>
          <w:ilvl w:val="0"/>
          <w:numId w:val="24"/>
        </w:numPr>
        <w:autoSpaceDE w:val="0"/>
        <w:autoSpaceDN w:val="0"/>
        <w:adjustRightInd w:val="0"/>
        <w:spacing w:before="240" w:after="120"/>
        <w:jc w:val="both"/>
        <w:rPr>
          <w:rFonts w:asciiTheme="minorHAnsi" w:hAnsiTheme="minorHAnsi" w:cs="Arial"/>
          <w:b/>
          <w:sz w:val="22"/>
          <w:szCs w:val="22"/>
        </w:rPr>
      </w:pPr>
      <w:r w:rsidRPr="001D52A0">
        <w:rPr>
          <w:rFonts w:asciiTheme="minorHAnsi" w:hAnsiTheme="minorHAnsi" w:cs="Arial"/>
          <w:b/>
          <w:sz w:val="22"/>
          <w:szCs w:val="22"/>
          <w:lang w:val="en-US"/>
        </w:rPr>
        <w:t xml:space="preserve">Financial Implications </w:t>
      </w:r>
    </w:p>
    <w:p w14:paraId="65DE01B5" w14:textId="77777777" w:rsidR="00844232" w:rsidRPr="001D52A0" w:rsidRDefault="00844232" w:rsidP="00747CD0">
      <w:pPr>
        <w:numPr>
          <w:ilvl w:val="1"/>
          <w:numId w:val="24"/>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These are included in the report.</w:t>
      </w:r>
    </w:p>
    <w:p w14:paraId="10F476E4" w14:textId="77777777" w:rsidR="00844232" w:rsidRPr="001D52A0" w:rsidRDefault="00844232" w:rsidP="00747CD0">
      <w:pPr>
        <w:numPr>
          <w:ilvl w:val="1"/>
          <w:numId w:val="24"/>
        </w:numPr>
        <w:autoSpaceDE w:val="0"/>
        <w:autoSpaceDN w:val="0"/>
        <w:adjustRightInd w:val="0"/>
        <w:spacing w:before="240" w:after="120"/>
        <w:jc w:val="both"/>
        <w:rPr>
          <w:rFonts w:asciiTheme="minorHAnsi" w:hAnsiTheme="minorHAnsi" w:cs="Arial"/>
          <w:sz w:val="22"/>
          <w:szCs w:val="22"/>
        </w:rPr>
      </w:pPr>
      <w:r w:rsidRPr="001D52A0">
        <w:rPr>
          <w:rFonts w:asciiTheme="minorHAnsi" w:hAnsiTheme="minorHAnsi" w:cs="Arial"/>
          <w:sz w:val="22"/>
          <w:szCs w:val="22"/>
        </w:rPr>
        <w:t>It is a statutory requirement for the Authority to set a balanced budget (Local Government Finance Act 1992) and to set the levy for constituent boroughs by 15 February (Joint Waste Disposal Authorities (Levies) Regulations 2006).</w:t>
      </w:r>
    </w:p>
    <w:p w14:paraId="0D81BF28" w14:textId="77777777" w:rsidR="00844232" w:rsidRPr="001D52A0" w:rsidRDefault="00844232" w:rsidP="00747CD0">
      <w:pPr>
        <w:numPr>
          <w:ilvl w:val="0"/>
          <w:numId w:val="24"/>
        </w:numPr>
        <w:autoSpaceDE w:val="0"/>
        <w:autoSpaceDN w:val="0"/>
        <w:adjustRightInd w:val="0"/>
        <w:spacing w:before="240" w:after="120"/>
        <w:jc w:val="both"/>
        <w:rPr>
          <w:rFonts w:asciiTheme="minorHAnsi" w:hAnsiTheme="minorHAnsi" w:cs="Arial"/>
          <w:b/>
          <w:sz w:val="22"/>
          <w:szCs w:val="22"/>
          <w:lang w:eastAsia="en-GB"/>
        </w:rPr>
      </w:pPr>
      <w:r w:rsidRPr="001D52A0">
        <w:rPr>
          <w:rFonts w:asciiTheme="minorHAnsi" w:hAnsiTheme="minorHAnsi" w:cs="Arial"/>
          <w:b/>
          <w:sz w:val="22"/>
          <w:szCs w:val="22"/>
          <w:lang w:eastAsia="en-GB"/>
        </w:rPr>
        <w:t>Legal Implications</w:t>
      </w:r>
    </w:p>
    <w:p w14:paraId="458F0918" w14:textId="5DE4A2C9" w:rsidR="00844232" w:rsidRPr="001D52A0" w:rsidRDefault="00FD1EC8" w:rsidP="00844232">
      <w:pPr>
        <w:autoSpaceDE w:val="0"/>
        <w:autoSpaceDN w:val="0"/>
        <w:adjustRightInd w:val="0"/>
        <w:spacing w:before="240" w:after="120"/>
        <w:jc w:val="both"/>
        <w:rPr>
          <w:rFonts w:asciiTheme="minorHAnsi" w:hAnsiTheme="minorHAnsi" w:cs="Arial"/>
          <w:sz w:val="22"/>
          <w:szCs w:val="22"/>
          <w:lang w:eastAsia="en-GB"/>
        </w:rPr>
      </w:pPr>
      <w:r w:rsidRPr="001D52A0">
        <w:rPr>
          <w:rFonts w:asciiTheme="minorHAnsi" w:hAnsiTheme="minorHAnsi" w:cs="Arial"/>
          <w:sz w:val="22"/>
          <w:szCs w:val="22"/>
          <w:lang w:eastAsia="en-GB"/>
        </w:rPr>
        <w:t>22</w:t>
      </w:r>
      <w:r w:rsidR="00844232" w:rsidRPr="001D52A0">
        <w:rPr>
          <w:rFonts w:asciiTheme="minorHAnsi" w:hAnsiTheme="minorHAnsi" w:cs="Arial"/>
          <w:sz w:val="22"/>
          <w:szCs w:val="22"/>
          <w:lang w:eastAsia="en-GB"/>
        </w:rPr>
        <w:t>.1  The</w:t>
      </w:r>
      <w:r w:rsidR="009605A8" w:rsidRPr="001D52A0">
        <w:rPr>
          <w:rFonts w:asciiTheme="minorHAnsi" w:hAnsiTheme="minorHAnsi" w:cs="Arial"/>
          <w:sz w:val="22"/>
          <w:szCs w:val="22"/>
          <w:lang w:eastAsia="en-GB"/>
        </w:rPr>
        <w:t>re</w:t>
      </w:r>
      <w:r w:rsidR="00844232" w:rsidRPr="001D52A0">
        <w:rPr>
          <w:rFonts w:asciiTheme="minorHAnsi" w:hAnsiTheme="minorHAnsi" w:cs="Arial"/>
          <w:sz w:val="22"/>
          <w:szCs w:val="22"/>
          <w:lang w:eastAsia="en-GB"/>
        </w:rPr>
        <w:t xml:space="preserve"> are no legal implications of this report</w:t>
      </w:r>
      <w:r w:rsidR="009605A8" w:rsidRPr="001D52A0">
        <w:rPr>
          <w:rFonts w:asciiTheme="minorHAnsi" w:hAnsiTheme="minorHAnsi" w:cs="Arial"/>
          <w:sz w:val="22"/>
          <w:szCs w:val="22"/>
          <w:lang w:eastAsia="en-GB"/>
        </w:rPr>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938"/>
      </w:tblGrid>
      <w:tr w:rsidR="00BC0B22" w:rsidRPr="001D52A0" w14:paraId="4D243D1C" w14:textId="77777777" w:rsidTr="00951B2B">
        <w:tc>
          <w:tcPr>
            <w:tcW w:w="2410" w:type="dxa"/>
          </w:tcPr>
          <w:p w14:paraId="57B8817A" w14:textId="77777777" w:rsidR="00BC0B22" w:rsidRPr="001D52A0" w:rsidRDefault="00BC0B22" w:rsidP="00F529F1">
            <w:pPr>
              <w:spacing w:before="120" w:after="120"/>
              <w:ind w:right="113"/>
              <w:rPr>
                <w:rFonts w:asciiTheme="minorHAnsi" w:hAnsiTheme="minorHAnsi" w:cs="Arial"/>
                <w:sz w:val="22"/>
                <w:szCs w:val="22"/>
              </w:rPr>
            </w:pPr>
            <w:r w:rsidRPr="001D52A0">
              <w:rPr>
                <w:rFonts w:asciiTheme="minorHAnsi" w:hAnsiTheme="minorHAnsi" w:cs="Arial"/>
                <w:sz w:val="22"/>
                <w:szCs w:val="22"/>
              </w:rPr>
              <w:t>Contact Officers</w:t>
            </w:r>
          </w:p>
          <w:p w14:paraId="5C4C1AF5" w14:textId="77777777" w:rsidR="00C6030D" w:rsidRPr="001D52A0" w:rsidRDefault="00C6030D" w:rsidP="00E04143">
            <w:pPr>
              <w:spacing w:before="120" w:after="120"/>
              <w:ind w:right="113"/>
              <w:rPr>
                <w:rFonts w:asciiTheme="minorHAnsi" w:hAnsiTheme="minorHAnsi" w:cs="Arial"/>
                <w:i/>
                <w:sz w:val="22"/>
                <w:szCs w:val="22"/>
              </w:rPr>
            </w:pPr>
          </w:p>
        </w:tc>
        <w:tc>
          <w:tcPr>
            <w:tcW w:w="7938" w:type="dxa"/>
          </w:tcPr>
          <w:p w14:paraId="6EB30995" w14:textId="318795FE" w:rsidR="004F22C5" w:rsidRPr="00807A2B" w:rsidRDefault="00844232" w:rsidP="00F529F1">
            <w:pPr>
              <w:spacing w:before="120"/>
              <w:ind w:right="113"/>
              <w:rPr>
                <w:rFonts w:asciiTheme="minorHAnsi" w:hAnsiTheme="minorHAnsi" w:cs="Arial"/>
                <w:sz w:val="22"/>
                <w:szCs w:val="22"/>
                <w:lang w:val="it-IT"/>
              </w:rPr>
            </w:pPr>
            <w:r w:rsidRPr="00807A2B">
              <w:rPr>
                <w:rFonts w:asciiTheme="minorHAnsi" w:hAnsiTheme="minorHAnsi" w:cs="Arial"/>
                <w:sz w:val="22"/>
                <w:szCs w:val="22"/>
                <w:lang w:val="it-IT"/>
              </w:rPr>
              <w:t>Sapna Dhanani, Finance Manager</w:t>
            </w:r>
            <w:r w:rsidR="00141753" w:rsidRPr="00807A2B">
              <w:rPr>
                <w:rFonts w:asciiTheme="minorHAnsi" w:hAnsiTheme="minorHAnsi" w:cs="Arial"/>
                <w:sz w:val="22"/>
                <w:szCs w:val="22"/>
                <w:lang w:val="it-IT"/>
              </w:rPr>
              <w:tab/>
            </w:r>
            <w:r w:rsidR="00141753" w:rsidRPr="00807A2B">
              <w:rPr>
                <w:rFonts w:asciiTheme="minorHAnsi" w:hAnsiTheme="minorHAnsi" w:cs="Arial"/>
                <w:sz w:val="22"/>
                <w:szCs w:val="22"/>
                <w:lang w:val="it-IT"/>
              </w:rPr>
              <w:tab/>
            </w:r>
            <w:r w:rsidR="00141753" w:rsidRPr="00807A2B">
              <w:rPr>
                <w:rFonts w:asciiTheme="minorHAnsi" w:hAnsiTheme="minorHAnsi" w:cs="Arial"/>
                <w:sz w:val="22"/>
                <w:szCs w:val="22"/>
                <w:lang w:val="it-IT"/>
              </w:rPr>
              <w:tab/>
            </w:r>
          </w:p>
          <w:p w14:paraId="65839E80" w14:textId="52A52BC9" w:rsidR="007A3E6A" w:rsidRPr="00807A2B" w:rsidRDefault="00564701" w:rsidP="00F529F1">
            <w:pPr>
              <w:spacing w:before="120"/>
              <w:ind w:right="113"/>
              <w:rPr>
                <w:rFonts w:asciiTheme="minorHAnsi" w:hAnsiTheme="minorHAnsi" w:cs="Arial"/>
                <w:sz w:val="22"/>
                <w:szCs w:val="22"/>
                <w:lang w:val="it-IT"/>
              </w:rPr>
            </w:pPr>
            <w:hyperlink r:id="rId8" w:history="1">
              <w:r w:rsidR="003F502C" w:rsidRPr="00807A2B">
                <w:rPr>
                  <w:rStyle w:val="Hyperlink"/>
                  <w:rFonts w:asciiTheme="minorHAnsi" w:hAnsiTheme="minorHAnsi" w:cs="Arial"/>
                  <w:sz w:val="22"/>
                  <w:szCs w:val="22"/>
                  <w:lang w:val="it-IT"/>
                </w:rPr>
                <w:t>sapnadhanani@westlondonwaste.gov.uk</w:t>
              </w:r>
            </w:hyperlink>
          </w:p>
          <w:p w14:paraId="05647AA2" w14:textId="77777777" w:rsidR="00141753" w:rsidRPr="001D52A0" w:rsidRDefault="000E6768" w:rsidP="00141753">
            <w:pPr>
              <w:spacing w:before="120"/>
              <w:ind w:right="113"/>
              <w:rPr>
                <w:rFonts w:asciiTheme="minorHAnsi" w:hAnsiTheme="minorHAnsi" w:cs="Arial"/>
                <w:sz w:val="22"/>
                <w:szCs w:val="22"/>
              </w:rPr>
            </w:pPr>
            <w:r w:rsidRPr="001D52A0">
              <w:rPr>
                <w:rFonts w:asciiTheme="minorHAnsi" w:hAnsiTheme="minorHAnsi" w:cs="Arial"/>
                <w:sz w:val="22"/>
                <w:szCs w:val="22"/>
              </w:rPr>
              <w:t xml:space="preserve">Ian O’Donnell, </w:t>
            </w:r>
            <w:r w:rsidR="00C6030D" w:rsidRPr="001D52A0">
              <w:rPr>
                <w:rFonts w:asciiTheme="minorHAnsi" w:hAnsiTheme="minorHAnsi" w:cs="Arial"/>
                <w:sz w:val="22"/>
                <w:szCs w:val="22"/>
              </w:rPr>
              <w:t>Treasurer</w:t>
            </w:r>
            <w:r w:rsidR="009D16A6" w:rsidRPr="001D52A0">
              <w:rPr>
                <w:rFonts w:asciiTheme="minorHAnsi" w:hAnsiTheme="minorHAnsi" w:cs="Arial"/>
                <w:sz w:val="22"/>
                <w:szCs w:val="22"/>
              </w:rPr>
              <w:t xml:space="preserve"> </w:t>
            </w:r>
            <w:r w:rsidR="00C6030D" w:rsidRPr="001D52A0">
              <w:rPr>
                <w:rFonts w:asciiTheme="minorHAnsi" w:hAnsiTheme="minorHAnsi" w:cs="Arial"/>
                <w:sz w:val="22"/>
                <w:szCs w:val="22"/>
              </w:rPr>
              <w:t xml:space="preserve">   </w:t>
            </w:r>
            <w:r w:rsidR="00141753" w:rsidRPr="001D52A0">
              <w:rPr>
                <w:rFonts w:asciiTheme="minorHAnsi" w:hAnsiTheme="minorHAnsi" w:cs="Arial"/>
                <w:sz w:val="22"/>
                <w:szCs w:val="22"/>
              </w:rPr>
              <w:tab/>
            </w:r>
            <w:r w:rsidR="00141753" w:rsidRPr="001D52A0">
              <w:rPr>
                <w:rFonts w:asciiTheme="minorHAnsi" w:hAnsiTheme="minorHAnsi" w:cs="Arial"/>
                <w:sz w:val="22"/>
                <w:szCs w:val="22"/>
              </w:rPr>
              <w:tab/>
            </w:r>
            <w:r w:rsidR="00141753" w:rsidRPr="001D52A0">
              <w:rPr>
                <w:rFonts w:asciiTheme="minorHAnsi" w:hAnsiTheme="minorHAnsi" w:cs="Arial"/>
                <w:sz w:val="22"/>
                <w:szCs w:val="22"/>
              </w:rPr>
              <w:tab/>
            </w:r>
          </w:p>
          <w:p w14:paraId="7AC13C11" w14:textId="77777777" w:rsidR="000E6768" w:rsidRPr="001D52A0" w:rsidRDefault="00564701" w:rsidP="00141753">
            <w:pPr>
              <w:spacing w:before="120"/>
              <w:ind w:right="113"/>
              <w:rPr>
                <w:rFonts w:asciiTheme="minorHAnsi" w:hAnsiTheme="minorHAnsi" w:cs="Arial"/>
                <w:sz w:val="22"/>
                <w:szCs w:val="22"/>
              </w:rPr>
            </w:pPr>
            <w:hyperlink r:id="rId9" w:history="1">
              <w:r w:rsidR="00263F96" w:rsidRPr="001D52A0">
                <w:rPr>
                  <w:rStyle w:val="Hyperlink"/>
                  <w:rFonts w:asciiTheme="minorHAnsi" w:hAnsiTheme="minorHAnsi" w:cs="Arial"/>
                  <w:sz w:val="22"/>
                  <w:szCs w:val="22"/>
                </w:rPr>
                <w:t>ianodonnell@westlondonwaste.gov.uk</w:t>
              </w:r>
            </w:hyperlink>
            <w:r w:rsidR="00263F96" w:rsidRPr="001D52A0">
              <w:rPr>
                <w:rFonts w:asciiTheme="minorHAnsi" w:hAnsiTheme="minorHAnsi" w:cs="Arial"/>
                <w:sz w:val="22"/>
                <w:szCs w:val="22"/>
              </w:rPr>
              <w:t xml:space="preserve"> </w:t>
            </w:r>
            <w:r w:rsidR="00C6030D" w:rsidRPr="001D52A0">
              <w:rPr>
                <w:rFonts w:asciiTheme="minorHAnsi" w:hAnsiTheme="minorHAnsi" w:cs="Arial"/>
                <w:sz w:val="22"/>
                <w:szCs w:val="22"/>
              </w:rPr>
              <w:t xml:space="preserve">             </w:t>
            </w:r>
            <w:r w:rsidR="000E6768" w:rsidRPr="001D52A0">
              <w:rPr>
                <w:rFonts w:asciiTheme="minorHAnsi" w:hAnsiTheme="minorHAnsi" w:cs="Arial"/>
                <w:sz w:val="22"/>
                <w:szCs w:val="22"/>
              </w:rPr>
              <w:t xml:space="preserve">   </w:t>
            </w:r>
            <w:r w:rsidR="00C6030D" w:rsidRPr="001D52A0">
              <w:rPr>
                <w:rFonts w:asciiTheme="minorHAnsi" w:hAnsiTheme="minorHAnsi" w:cs="Arial"/>
                <w:sz w:val="22"/>
                <w:szCs w:val="22"/>
              </w:rPr>
              <w:t xml:space="preserve"> </w:t>
            </w:r>
            <w:r w:rsidR="000E6768" w:rsidRPr="001D52A0">
              <w:rPr>
                <w:rFonts w:asciiTheme="minorHAnsi" w:hAnsiTheme="minorHAnsi" w:cs="Arial"/>
                <w:sz w:val="22"/>
                <w:szCs w:val="22"/>
              </w:rPr>
              <w:t xml:space="preserve">             </w:t>
            </w:r>
            <w:r w:rsidR="00C6030D" w:rsidRPr="001D52A0">
              <w:rPr>
                <w:rFonts w:asciiTheme="minorHAnsi" w:hAnsiTheme="minorHAnsi" w:cs="Arial"/>
                <w:sz w:val="22"/>
                <w:szCs w:val="22"/>
              </w:rPr>
              <w:t xml:space="preserve">      </w:t>
            </w:r>
          </w:p>
          <w:p w14:paraId="622A4040" w14:textId="77777777" w:rsidR="00141753" w:rsidRPr="001D52A0" w:rsidRDefault="009D16A6" w:rsidP="00141753">
            <w:pPr>
              <w:spacing w:before="120"/>
              <w:ind w:right="113"/>
              <w:rPr>
                <w:rFonts w:asciiTheme="minorHAnsi" w:hAnsiTheme="minorHAnsi" w:cs="Arial"/>
                <w:sz w:val="22"/>
                <w:szCs w:val="22"/>
              </w:rPr>
            </w:pPr>
            <w:r w:rsidRPr="001D52A0">
              <w:rPr>
                <w:rFonts w:asciiTheme="minorHAnsi" w:hAnsiTheme="minorHAnsi" w:cs="Arial"/>
                <w:sz w:val="22"/>
                <w:szCs w:val="22"/>
              </w:rPr>
              <w:t xml:space="preserve">Emma Beal, Managing Director                          </w:t>
            </w:r>
          </w:p>
          <w:p w14:paraId="09EFBCA2" w14:textId="77777777" w:rsidR="0023757C" w:rsidRPr="001D52A0" w:rsidRDefault="00564701" w:rsidP="00141753">
            <w:pPr>
              <w:spacing w:before="120"/>
              <w:ind w:right="113"/>
              <w:rPr>
                <w:rFonts w:asciiTheme="minorHAnsi" w:hAnsiTheme="minorHAnsi" w:cs="Arial"/>
                <w:sz w:val="22"/>
                <w:szCs w:val="22"/>
              </w:rPr>
            </w:pPr>
            <w:hyperlink r:id="rId10" w:history="1">
              <w:r w:rsidR="0023757C" w:rsidRPr="001D52A0">
                <w:rPr>
                  <w:rStyle w:val="Hyperlink"/>
                  <w:rFonts w:asciiTheme="minorHAnsi" w:hAnsiTheme="minorHAnsi" w:cs="Arial"/>
                  <w:sz w:val="22"/>
                  <w:szCs w:val="22"/>
                </w:rPr>
                <w:t>emmabeal@westlondonwaste.gov.uk</w:t>
              </w:r>
            </w:hyperlink>
            <w:r w:rsidR="0023757C" w:rsidRPr="001D52A0">
              <w:rPr>
                <w:rFonts w:asciiTheme="minorHAnsi" w:hAnsiTheme="minorHAnsi" w:cs="Arial"/>
                <w:sz w:val="22"/>
                <w:szCs w:val="22"/>
              </w:rPr>
              <w:t xml:space="preserve"> </w:t>
            </w:r>
          </w:p>
        </w:tc>
      </w:tr>
    </w:tbl>
    <w:p w14:paraId="02494619" w14:textId="77777777" w:rsidR="002A3A39" w:rsidRPr="001D52A0" w:rsidRDefault="002A3A39" w:rsidP="009811F6">
      <w:pPr>
        <w:spacing w:after="240"/>
        <w:outlineLvl w:val="3"/>
        <w:rPr>
          <w:rFonts w:asciiTheme="minorHAnsi" w:hAnsiTheme="minorHAnsi" w:cs="Arial"/>
          <w:b/>
          <w:sz w:val="22"/>
          <w:szCs w:val="22"/>
        </w:rPr>
      </w:pPr>
    </w:p>
    <w:p w14:paraId="429EDE45" w14:textId="788D7E9D" w:rsidR="000E1931" w:rsidRPr="001D52A0" w:rsidRDefault="000E1931" w:rsidP="00977D08">
      <w:pPr>
        <w:autoSpaceDE w:val="0"/>
        <w:autoSpaceDN w:val="0"/>
        <w:adjustRightInd w:val="0"/>
        <w:spacing w:before="240" w:after="120"/>
        <w:rPr>
          <w:rFonts w:asciiTheme="minorHAnsi" w:hAnsiTheme="minorHAnsi" w:cs="Arial"/>
          <w:sz w:val="22"/>
          <w:szCs w:val="22"/>
          <w:lang w:eastAsia="en-GB"/>
        </w:rPr>
      </w:pPr>
    </w:p>
    <w:p w14:paraId="673F3C4D" w14:textId="7FF94C22" w:rsidR="00957C10" w:rsidRPr="001D52A0" w:rsidRDefault="00957C10" w:rsidP="00977D08">
      <w:pPr>
        <w:autoSpaceDE w:val="0"/>
        <w:autoSpaceDN w:val="0"/>
        <w:adjustRightInd w:val="0"/>
        <w:spacing w:before="240" w:after="120"/>
        <w:rPr>
          <w:rFonts w:asciiTheme="minorHAnsi" w:hAnsiTheme="minorHAnsi" w:cs="Arial"/>
          <w:sz w:val="22"/>
          <w:szCs w:val="22"/>
          <w:lang w:eastAsia="en-GB"/>
        </w:rPr>
      </w:pPr>
    </w:p>
    <w:p w14:paraId="19EA9F5A" w14:textId="77777777" w:rsidR="00957C10" w:rsidRPr="001D52A0" w:rsidRDefault="00957C10" w:rsidP="00977D08">
      <w:pPr>
        <w:autoSpaceDE w:val="0"/>
        <w:autoSpaceDN w:val="0"/>
        <w:adjustRightInd w:val="0"/>
        <w:spacing w:before="240" w:after="120"/>
        <w:rPr>
          <w:rFonts w:asciiTheme="minorHAnsi" w:hAnsiTheme="minorHAnsi" w:cs="Arial"/>
          <w:sz w:val="22"/>
          <w:szCs w:val="22"/>
          <w:lang w:eastAsia="en-GB"/>
        </w:rPr>
      </w:pPr>
    </w:p>
    <w:p w14:paraId="6C75B06C" w14:textId="77777777" w:rsidR="0055565F" w:rsidRPr="001D52A0" w:rsidRDefault="0055565F" w:rsidP="00977D08">
      <w:pPr>
        <w:autoSpaceDE w:val="0"/>
        <w:autoSpaceDN w:val="0"/>
        <w:adjustRightInd w:val="0"/>
        <w:spacing w:before="240" w:after="120"/>
        <w:rPr>
          <w:rFonts w:asciiTheme="minorHAnsi" w:hAnsiTheme="minorHAnsi" w:cs="Arial"/>
          <w:sz w:val="22"/>
          <w:szCs w:val="22"/>
          <w:lang w:eastAsia="en-GB"/>
        </w:rPr>
      </w:pPr>
    </w:p>
    <w:p w14:paraId="1C8B5AD0" w14:textId="6E2706EC" w:rsidR="003F502C" w:rsidRPr="001D52A0" w:rsidRDefault="001D52A0" w:rsidP="003F502C">
      <w:pPr>
        <w:autoSpaceDE w:val="0"/>
        <w:autoSpaceDN w:val="0"/>
        <w:adjustRightInd w:val="0"/>
        <w:spacing w:before="240" w:after="120"/>
        <w:rPr>
          <w:rFonts w:asciiTheme="minorHAnsi" w:hAnsiTheme="minorHAnsi" w:cs="Arial"/>
          <w:b/>
          <w:sz w:val="22"/>
          <w:szCs w:val="22"/>
          <w:lang w:eastAsia="en-GB"/>
        </w:rPr>
      </w:pPr>
      <w:r>
        <w:rPr>
          <w:rFonts w:asciiTheme="minorHAnsi" w:hAnsiTheme="minorHAnsi" w:cs="Arial"/>
          <w:b/>
          <w:sz w:val="22"/>
          <w:szCs w:val="22"/>
          <w:lang w:eastAsia="en-GB"/>
        </w:rPr>
        <w:lastRenderedPageBreak/>
        <w:t>A</w:t>
      </w:r>
      <w:r w:rsidR="003F502C" w:rsidRPr="001D52A0">
        <w:rPr>
          <w:rFonts w:asciiTheme="minorHAnsi" w:hAnsiTheme="minorHAnsi" w:cs="Arial"/>
          <w:b/>
          <w:sz w:val="22"/>
          <w:szCs w:val="22"/>
          <w:lang w:eastAsia="en-GB"/>
        </w:rPr>
        <w:t>ppendix 1</w:t>
      </w:r>
    </w:p>
    <w:p w14:paraId="29278D38" w14:textId="77777777" w:rsidR="003F502C" w:rsidRPr="001D52A0" w:rsidRDefault="003F502C" w:rsidP="003F502C">
      <w:pPr>
        <w:autoSpaceDE w:val="0"/>
        <w:autoSpaceDN w:val="0"/>
        <w:adjustRightInd w:val="0"/>
        <w:spacing w:before="240" w:after="120"/>
        <w:ind w:left="170"/>
        <w:jc w:val="both"/>
        <w:rPr>
          <w:rFonts w:asciiTheme="minorHAnsi" w:hAnsiTheme="minorHAnsi" w:cs="Arial"/>
          <w:b/>
          <w:sz w:val="22"/>
          <w:szCs w:val="22"/>
          <w:lang w:eastAsia="en-GB"/>
        </w:rPr>
      </w:pPr>
      <w:r w:rsidRPr="001D52A0">
        <w:rPr>
          <w:rFonts w:asciiTheme="minorHAnsi" w:hAnsiTheme="minorHAnsi" w:cs="Arial"/>
          <w:b/>
          <w:sz w:val="22"/>
          <w:szCs w:val="22"/>
          <w:lang w:eastAsia="en-GB"/>
        </w:rPr>
        <w:t>Outputs</w:t>
      </w:r>
    </w:p>
    <w:p w14:paraId="6D6164E6" w14:textId="77777777" w:rsidR="003F502C" w:rsidRPr="001D52A0" w:rsidRDefault="003F502C" w:rsidP="003F502C">
      <w:pPr>
        <w:autoSpaceDE w:val="0"/>
        <w:autoSpaceDN w:val="0"/>
        <w:adjustRightInd w:val="0"/>
        <w:ind w:left="170"/>
        <w:jc w:val="both"/>
        <w:rPr>
          <w:rFonts w:asciiTheme="minorHAnsi" w:hAnsiTheme="minorHAnsi" w:cs="Arial"/>
          <w:sz w:val="22"/>
          <w:szCs w:val="22"/>
          <w:lang w:eastAsia="en-GB"/>
        </w:rPr>
      </w:pPr>
      <w:r w:rsidRPr="001D52A0">
        <w:rPr>
          <w:rFonts w:asciiTheme="minorHAnsi" w:hAnsiTheme="minorHAnsi" w:cs="Arial"/>
          <w:sz w:val="22"/>
          <w:szCs w:val="22"/>
          <w:lang w:eastAsia="en-GB"/>
        </w:rPr>
        <w:t>Using the proposed budget and base assumptions, the medium and long term financial model then gives us some outputs, for example, how our costs (and consequently levies to boroughs) change over time, or how our loan and cash balance changes over time. The main outputs are provided below and illustrate that affecting residual waste tonnages is the key.</w:t>
      </w:r>
    </w:p>
    <w:p w14:paraId="4C68B74D" w14:textId="77777777" w:rsidR="003F502C" w:rsidRPr="001D52A0" w:rsidRDefault="003F502C" w:rsidP="003F502C">
      <w:pPr>
        <w:autoSpaceDE w:val="0"/>
        <w:autoSpaceDN w:val="0"/>
        <w:adjustRightInd w:val="0"/>
        <w:ind w:left="170"/>
        <w:jc w:val="both"/>
        <w:rPr>
          <w:rFonts w:asciiTheme="minorHAnsi" w:hAnsiTheme="minorHAnsi" w:cs="Arial"/>
          <w:sz w:val="22"/>
          <w:szCs w:val="22"/>
          <w:lang w:eastAsia="en-GB"/>
        </w:rPr>
      </w:pPr>
    </w:p>
    <w:p w14:paraId="684CE69A" w14:textId="1FB52402" w:rsidR="003F502C" w:rsidRPr="001D52A0" w:rsidRDefault="003F502C" w:rsidP="003F502C">
      <w:pPr>
        <w:autoSpaceDE w:val="0"/>
        <w:autoSpaceDN w:val="0"/>
        <w:adjustRightInd w:val="0"/>
        <w:ind w:left="170"/>
        <w:jc w:val="both"/>
        <w:rPr>
          <w:rFonts w:asciiTheme="minorHAnsi" w:hAnsiTheme="minorHAnsi" w:cs="Arial"/>
          <w:sz w:val="22"/>
          <w:szCs w:val="22"/>
          <w:lang w:eastAsia="en-GB"/>
        </w:rPr>
      </w:pPr>
      <w:r w:rsidRPr="001D52A0">
        <w:rPr>
          <w:rFonts w:asciiTheme="minorHAnsi" w:hAnsiTheme="minorHAnsi" w:cs="Arial"/>
          <w:b/>
          <w:sz w:val="22"/>
          <w:szCs w:val="22"/>
          <w:lang w:eastAsia="en-GB"/>
        </w:rPr>
        <w:t>Tonnage</w:t>
      </w:r>
      <w:r w:rsidRPr="001D52A0">
        <w:rPr>
          <w:rFonts w:asciiTheme="minorHAnsi" w:hAnsiTheme="minorHAnsi" w:cs="Arial"/>
          <w:sz w:val="22"/>
          <w:szCs w:val="22"/>
          <w:lang w:eastAsia="en-GB"/>
        </w:rPr>
        <w:t xml:space="preserve"> – The chart below illustrates the impact of the base assumption of 0.5% annual growth in residual tonnage to reflect population growth. Over the life of the plan, the residual tonnage rises from 416,951 to 456,115 tonnes.</w:t>
      </w:r>
    </w:p>
    <w:p w14:paraId="693795C8" w14:textId="77777777" w:rsidR="003F502C" w:rsidRPr="001D52A0" w:rsidRDefault="003F502C" w:rsidP="003F502C">
      <w:pPr>
        <w:autoSpaceDE w:val="0"/>
        <w:autoSpaceDN w:val="0"/>
        <w:adjustRightInd w:val="0"/>
        <w:ind w:left="170"/>
        <w:jc w:val="both"/>
        <w:rPr>
          <w:rFonts w:asciiTheme="minorHAnsi" w:hAnsiTheme="minorHAnsi" w:cs="Arial"/>
          <w:sz w:val="22"/>
          <w:szCs w:val="22"/>
          <w:lang w:eastAsia="en-GB"/>
        </w:rPr>
      </w:pPr>
    </w:p>
    <w:p w14:paraId="147A12D1" w14:textId="0A3B078B" w:rsidR="003F502C" w:rsidRPr="001D52A0" w:rsidRDefault="003F502C" w:rsidP="003F502C">
      <w:pPr>
        <w:autoSpaceDE w:val="0"/>
        <w:autoSpaceDN w:val="0"/>
        <w:adjustRightInd w:val="0"/>
        <w:ind w:left="170"/>
        <w:jc w:val="center"/>
        <w:rPr>
          <w:rFonts w:asciiTheme="minorHAnsi" w:hAnsiTheme="minorHAnsi" w:cs="Arial"/>
          <w:sz w:val="22"/>
          <w:szCs w:val="22"/>
          <w:lang w:eastAsia="en-GB"/>
        </w:rPr>
      </w:pPr>
      <w:r w:rsidRPr="001D52A0">
        <w:rPr>
          <w:rFonts w:asciiTheme="minorHAnsi" w:hAnsiTheme="minorHAnsi" w:cs="Arial"/>
          <w:noProof/>
          <w:sz w:val="22"/>
          <w:szCs w:val="22"/>
          <w:lang w:eastAsia="en-GB"/>
        </w:rPr>
        <w:drawing>
          <wp:inline distT="0" distB="0" distL="0" distR="0" wp14:anchorId="7BBDC8BB" wp14:editId="46F331AD">
            <wp:extent cx="4584700" cy="274955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2749550"/>
                    </a:xfrm>
                    <a:prstGeom prst="rect">
                      <a:avLst/>
                    </a:prstGeom>
                    <a:noFill/>
                  </pic:spPr>
                </pic:pic>
              </a:graphicData>
            </a:graphic>
          </wp:inline>
        </w:drawing>
      </w:r>
    </w:p>
    <w:p w14:paraId="2A30AAC1" w14:textId="77777777" w:rsidR="003F502C" w:rsidRPr="001D52A0" w:rsidRDefault="003F502C" w:rsidP="003F502C">
      <w:pPr>
        <w:autoSpaceDE w:val="0"/>
        <w:autoSpaceDN w:val="0"/>
        <w:adjustRightInd w:val="0"/>
        <w:ind w:left="170"/>
        <w:jc w:val="both"/>
        <w:rPr>
          <w:rFonts w:asciiTheme="minorHAnsi" w:hAnsiTheme="minorHAnsi" w:cs="Arial"/>
          <w:sz w:val="22"/>
          <w:szCs w:val="22"/>
          <w:lang w:eastAsia="en-GB"/>
        </w:rPr>
      </w:pPr>
    </w:p>
    <w:p w14:paraId="281364E3" w14:textId="534467E3" w:rsidR="003F502C" w:rsidRPr="001D52A0" w:rsidRDefault="003F502C" w:rsidP="003F502C">
      <w:pPr>
        <w:autoSpaceDE w:val="0"/>
        <w:autoSpaceDN w:val="0"/>
        <w:adjustRightInd w:val="0"/>
        <w:ind w:left="170"/>
        <w:jc w:val="both"/>
        <w:rPr>
          <w:rFonts w:asciiTheme="minorHAnsi" w:hAnsiTheme="minorHAnsi" w:cs="Arial"/>
          <w:sz w:val="22"/>
          <w:szCs w:val="22"/>
          <w:lang w:eastAsia="en-GB"/>
        </w:rPr>
      </w:pPr>
      <w:r w:rsidRPr="001D52A0">
        <w:rPr>
          <w:rFonts w:asciiTheme="minorHAnsi" w:hAnsiTheme="minorHAnsi" w:cs="Arial"/>
          <w:b/>
          <w:sz w:val="22"/>
          <w:szCs w:val="22"/>
          <w:lang w:eastAsia="en-GB"/>
        </w:rPr>
        <w:t>Overall expenditure</w:t>
      </w:r>
      <w:r w:rsidRPr="001D52A0">
        <w:rPr>
          <w:rFonts w:asciiTheme="minorHAnsi" w:hAnsiTheme="minorHAnsi" w:cs="Arial"/>
          <w:sz w:val="22"/>
          <w:szCs w:val="22"/>
          <w:lang w:eastAsia="en-GB"/>
        </w:rPr>
        <w:t xml:space="preserve"> – This equates to the total levies charged to boroughs and the chart below has been split to show the PAYT and FCL as well as the total. The chart illustrates the growth in overall expenditure and levies over time.</w:t>
      </w:r>
    </w:p>
    <w:p w14:paraId="025252AD" w14:textId="2B3A56D8" w:rsidR="007B5E0A" w:rsidRPr="001D52A0" w:rsidRDefault="007B5E0A" w:rsidP="003F502C">
      <w:pPr>
        <w:autoSpaceDE w:val="0"/>
        <w:autoSpaceDN w:val="0"/>
        <w:adjustRightInd w:val="0"/>
        <w:ind w:left="170"/>
        <w:jc w:val="both"/>
        <w:rPr>
          <w:rFonts w:asciiTheme="minorHAnsi" w:hAnsiTheme="minorHAnsi" w:cs="Arial"/>
          <w:sz w:val="22"/>
          <w:szCs w:val="22"/>
          <w:lang w:eastAsia="en-GB"/>
        </w:rPr>
      </w:pPr>
    </w:p>
    <w:p w14:paraId="78226573" w14:textId="0E850E7C" w:rsidR="007B5E0A" w:rsidRPr="001D52A0" w:rsidRDefault="007B5E0A" w:rsidP="003F502C">
      <w:pPr>
        <w:autoSpaceDE w:val="0"/>
        <w:autoSpaceDN w:val="0"/>
        <w:adjustRightInd w:val="0"/>
        <w:ind w:left="170"/>
        <w:jc w:val="both"/>
        <w:rPr>
          <w:rFonts w:asciiTheme="minorHAnsi" w:hAnsiTheme="minorHAnsi" w:cs="Arial"/>
          <w:sz w:val="22"/>
          <w:szCs w:val="22"/>
          <w:lang w:eastAsia="en-GB"/>
        </w:rPr>
      </w:pPr>
      <w:r w:rsidRPr="001D52A0">
        <w:rPr>
          <w:rFonts w:asciiTheme="minorHAnsi" w:hAnsiTheme="minorHAnsi" w:cs="Arial"/>
          <w:sz w:val="22"/>
          <w:szCs w:val="22"/>
          <w:lang w:eastAsia="en-GB"/>
        </w:rPr>
        <w:t>It should be noted that the increase in insurances and the impact of emissions trading scheme (ETS) have not been added in to the medium and long term financial model.  Insurance has been set aside within reserves, as has the impact of ETS through the funded programmes which should see fossil carbon in residual waste decrease.</w:t>
      </w:r>
    </w:p>
    <w:p w14:paraId="0B1229D7" w14:textId="03332870" w:rsidR="003F502C" w:rsidRPr="001D52A0" w:rsidRDefault="003F502C" w:rsidP="003F502C">
      <w:pPr>
        <w:autoSpaceDE w:val="0"/>
        <w:autoSpaceDN w:val="0"/>
        <w:adjustRightInd w:val="0"/>
        <w:rPr>
          <w:rFonts w:asciiTheme="minorHAnsi" w:hAnsiTheme="minorHAnsi" w:cs="Arial"/>
          <w:noProof/>
          <w:sz w:val="22"/>
          <w:szCs w:val="22"/>
          <w:lang w:eastAsia="en-GB"/>
        </w:rPr>
      </w:pPr>
    </w:p>
    <w:p w14:paraId="5CA2FDA5" w14:textId="5DEB2999" w:rsidR="003F502C" w:rsidRPr="001D52A0" w:rsidRDefault="003F502C" w:rsidP="003F502C">
      <w:pPr>
        <w:autoSpaceDE w:val="0"/>
        <w:autoSpaceDN w:val="0"/>
        <w:adjustRightInd w:val="0"/>
        <w:jc w:val="center"/>
        <w:rPr>
          <w:rFonts w:asciiTheme="minorHAnsi" w:hAnsiTheme="minorHAnsi" w:cs="Arial"/>
          <w:noProof/>
          <w:sz w:val="22"/>
          <w:szCs w:val="22"/>
          <w:lang w:eastAsia="en-GB"/>
        </w:rPr>
      </w:pPr>
      <w:r w:rsidRPr="001D52A0">
        <w:rPr>
          <w:rFonts w:asciiTheme="minorHAnsi" w:hAnsiTheme="minorHAnsi" w:cs="Arial"/>
          <w:noProof/>
          <w:sz w:val="22"/>
          <w:szCs w:val="22"/>
          <w:lang w:eastAsia="en-GB"/>
        </w:rPr>
        <w:drawing>
          <wp:inline distT="0" distB="0" distL="0" distR="0" wp14:anchorId="5F4DEE5D" wp14:editId="5F15AF19">
            <wp:extent cx="5718810" cy="27559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8810" cy="2755900"/>
                    </a:xfrm>
                    <a:prstGeom prst="rect">
                      <a:avLst/>
                    </a:prstGeom>
                    <a:noFill/>
                  </pic:spPr>
                </pic:pic>
              </a:graphicData>
            </a:graphic>
          </wp:inline>
        </w:drawing>
      </w:r>
    </w:p>
    <w:p w14:paraId="52DBDA9F" w14:textId="06E20D51" w:rsidR="003F502C" w:rsidRPr="001D52A0" w:rsidRDefault="003F502C" w:rsidP="003F502C">
      <w:pPr>
        <w:autoSpaceDE w:val="0"/>
        <w:autoSpaceDN w:val="0"/>
        <w:adjustRightInd w:val="0"/>
        <w:ind w:left="170"/>
        <w:jc w:val="center"/>
        <w:rPr>
          <w:rFonts w:asciiTheme="minorHAnsi" w:hAnsiTheme="minorHAnsi" w:cs="Arial"/>
          <w:sz w:val="22"/>
          <w:szCs w:val="22"/>
          <w:lang w:eastAsia="en-GB"/>
        </w:rPr>
      </w:pPr>
    </w:p>
    <w:p w14:paraId="575EE478" w14:textId="77777777" w:rsidR="003F502C" w:rsidRPr="001D52A0" w:rsidRDefault="003F502C" w:rsidP="003F502C">
      <w:pPr>
        <w:autoSpaceDE w:val="0"/>
        <w:autoSpaceDN w:val="0"/>
        <w:adjustRightInd w:val="0"/>
        <w:ind w:left="170"/>
        <w:jc w:val="both"/>
        <w:rPr>
          <w:rFonts w:asciiTheme="minorHAnsi" w:hAnsiTheme="minorHAnsi" w:cs="Arial"/>
          <w:sz w:val="22"/>
          <w:szCs w:val="22"/>
          <w:lang w:eastAsia="en-GB"/>
        </w:rPr>
      </w:pPr>
    </w:p>
    <w:p w14:paraId="6E6FC035" w14:textId="065AD465" w:rsidR="003F502C" w:rsidRPr="001D52A0" w:rsidRDefault="003F502C" w:rsidP="003F502C">
      <w:pPr>
        <w:autoSpaceDE w:val="0"/>
        <w:autoSpaceDN w:val="0"/>
        <w:adjustRightInd w:val="0"/>
        <w:ind w:left="170"/>
        <w:jc w:val="both"/>
        <w:rPr>
          <w:rFonts w:asciiTheme="minorHAnsi" w:hAnsiTheme="minorHAnsi" w:cs="Arial"/>
          <w:sz w:val="22"/>
          <w:szCs w:val="22"/>
          <w:lang w:eastAsia="en-GB"/>
        </w:rPr>
      </w:pPr>
      <w:r w:rsidRPr="001D52A0">
        <w:rPr>
          <w:rFonts w:asciiTheme="minorHAnsi" w:hAnsiTheme="minorHAnsi" w:cs="Arial"/>
          <w:sz w:val="22"/>
          <w:szCs w:val="22"/>
          <w:lang w:eastAsia="en-GB"/>
        </w:rPr>
        <w:lastRenderedPageBreak/>
        <w:t xml:space="preserve">This chart above illustrates an average annual growth of 2.2% over the long-term which is lower than the 3.5% underlying long term growth assumptions in the plan, principally inflation RPIX (3.0%) and annual growth in tonnages (0.5%) to reflect population rises. </w:t>
      </w:r>
    </w:p>
    <w:p w14:paraId="502DB1AE" w14:textId="77777777" w:rsidR="003F502C" w:rsidRPr="001D52A0" w:rsidRDefault="003F502C" w:rsidP="003F502C">
      <w:pPr>
        <w:autoSpaceDE w:val="0"/>
        <w:autoSpaceDN w:val="0"/>
        <w:adjustRightInd w:val="0"/>
        <w:ind w:left="170"/>
        <w:jc w:val="both"/>
        <w:rPr>
          <w:rFonts w:asciiTheme="minorHAnsi" w:hAnsiTheme="minorHAnsi" w:cs="Arial"/>
          <w:sz w:val="22"/>
          <w:szCs w:val="22"/>
          <w:lang w:eastAsia="en-GB"/>
        </w:rPr>
      </w:pPr>
    </w:p>
    <w:p w14:paraId="040646F1" w14:textId="6CCD5DB3" w:rsidR="003F502C" w:rsidRPr="001D52A0" w:rsidRDefault="003F502C" w:rsidP="003F502C">
      <w:pPr>
        <w:autoSpaceDE w:val="0"/>
        <w:autoSpaceDN w:val="0"/>
        <w:adjustRightInd w:val="0"/>
        <w:ind w:left="170"/>
        <w:jc w:val="both"/>
        <w:rPr>
          <w:rFonts w:asciiTheme="minorHAnsi" w:hAnsiTheme="minorHAnsi" w:cs="Arial"/>
          <w:sz w:val="22"/>
          <w:szCs w:val="22"/>
          <w:lang w:eastAsia="en-GB"/>
        </w:rPr>
      </w:pPr>
      <w:r w:rsidRPr="001D52A0">
        <w:rPr>
          <w:rFonts w:asciiTheme="minorHAnsi" w:hAnsiTheme="minorHAnsi" w:cs="Arial"/>
          <w:sz w:val="22"/>
          <w:szCs w:val="22"/>
          <w:lang w:eastAsia="en-GB"/>
        </w:rPr>
        <w:t xml:space="preserve">This growth is contained as a result of the way the PPP contract is structured. </w:t>
      </w:r>
      <w:r w:rsidR="00913461" w:rsidRPr="001D52A0">
        <w:rPr>
          <w:rFonts w:asciiTheme="minorHAnsi" w:hAnsiTheme="minorHAnsi" w:cs="Arial"/>
          <w:sz w:val="22"/>
          <w:szCs w:val="22"/>
          <w:lang w:eastAsia="en-GB"/>
        </w:rPr>
        <w:t>I</w:t>
      </w:r>
      <w:r w:rsidRPr="001D52A0">
        <w:rPr>
          <w:rFonts w:asciiTheme="minorHAnsi" w:hAnsiTheme="minorHAnsi" w:cs="Arial"/>
          <w:sz w:val="22"/>
          <w:szCs w:val="22"/>
          <w:lang w:eastAsia="en-GB"/>
        </w:rPr>
        <w:t>nflation</w:t>
      </w:r>
      <w:r w:rsidR="00913461" w:rsidRPr="001D52A0">
        <w:rPr>
          <w:rFonts w:asciiTheme="minorHAnsi" w:hAnsiTheme="minorHAnsi" w:cs="Arial"/>
          <w:sz w:val="22"/>
          <w:szCs w:val="22"/>
          <w:lang w:eastAsia="en-GB"/>
        </w:rPr>
        <w:t xml:space="preserve"> is dampened on a large proportion of tonnages</w:t>
      </w:r>
      <w:r w:rsidRPr="001D52A0">
        <w:rPr>
          <w:rFonts w:asciiTheme="minorHAnsi" w:hAnsiTheme="minorHAnsi" w:cs="Arial"/>
          <w:sz w:val="22"/>
          <w:szCs w:val="22"/>
          <w:lang w:eastAsia="en-GB"/>
        </w:rPr>
        <w:t xml:space="preserve"> over the whole life of the contract. </w:t>
      </w:r>
    </w:p>
    <w:p w14:paraId="7FDC4026" w14:textId="77777777" w:rsidR="003F502C" w:rsidRPr="001D52A0" w:rsidRDefault="003F502C" w:rsidP="003F502C">
      <w:pPr>
        <w:autoSpaceDE w:val="0"/>
        <w:autoSpaceDN w:val="0"/>
        <w:adjustRightInd w:val="0"/>
        <w:ind w:left="170"/>
        <w:jc w:val="both"/>
        <w:rPr>
          <w:rFonts w:asciiTheme="minorHAnsi" w:hAnsiTheme="minorHAnsi" w:cs="Arial"/>
          <w:sz w:val="22"/>
          <w:szCs w:val="22"/>
          <w:lang w:eastAsia="en-GB"/>
        </w:rPr>
      </w:pPr>
    </w:p>
    <w:p w14:paraId="3F95DF46" w14:textId="77777777" w:rsidR="003F502C" w:rsidRPr="001D52A0" w:rsidRDefault="003F502C" w:rsidP="003F502C">
      <w:pPr>
        <w:autoSpaceDE w:val="0"/>
        <w:autoSpaceDN w:val="0"/>
        <w:adjustRightInd w:val="0"/>
        <w:ind w:left="170"/>
        <w:jc w:val="both"/>
        <w:rPr>
          <w:rFonts w:asciiTheme="minorHAnsi" w:hAnsiTheme="minorHAnsi" w:cs="Arial"/>
          <w:sz w:val="22"/>
          <w:szCs w:val="22"/>
          <w:lang w:eastAsia="en-GB"/>
        </w:rPr>
      </w:pPr>
      <w:r w:rsidRPr="001D52A0">
        <w:rPr>
          <w:rFonts w:asciiTheme="minorHAnsi" w:hAnsiTheme="minorHAnsi" w:cs="Arial"/>
          <w:sz w:val="22"/>
          <w:szCs w:val="22"/>
          <w:lang w:eastAsia="en-GB"/>
        </w:rPr>
        <w:t xml:space="preserve">The dampened growth in costs and levies is further illustrated in the medium term in the chart below. </w:t>
      </w:r>
    </w:p>
    <w:p w14:paraId="73A368CD" w14:textId="41248F56" w:rsidR="003F502C" w:rsidRPr="001D52A0" w:rsidRDefault="003F502C" w:rsidP="003F502C">
      <w:pPr>
        <w:autoSpaceDE w:val="0"/>
        <w:autoSpaceDN w:val="0"/>
        <w:adjustRightInd w:val="0"/>
        <w:ind w:left="170"/>
        <w:jc w:val="center"/>
        <w:rPr>
          <w:rFonts w:asciiTheme="minorHAnsi" w:hAnsiTheme="minorHAnsi" w:cs="Arial"/>
          <w:noProof/>
          <w:sz w:val="22"/>
          <w:szCs w:val="22"/>
          <w:lang w:eastAsia="en-GB"/>
        </w:rPr>
      </w:pPr>
      <w:r w:rsidRPr="001D52A0">
        <w:rPr>
          <w:rFonts w:asciiTheme="minorHAnsi" w:hAnsiTheme="minorHAnsi" w:cs="Arial"/>
          <w:noProof/>
          <w:sz w:val="22"/>
          <w:szCs w:val="22"/>
          <w:lang w:eastAsia="en-GB"/>
        </w:rPr>
        <w:drawing>
          <wp:inline distT="0" distB="0" distL="0" distR="0" wp14:anchorId="4BE2AB26" wp14:editId="4066753F">
            <wp:extent cx="4584700" cy="3035935"/>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3035935"/>
                    </a:xfrm>
                    <a:prstGeom prst="rect">
                      <a:avLst/>
                    </a:prstGeom>
                    <a:noFill/>
                  </pic:spPr>
                </pic:pic>
              </a:graphicData>
            </a:graphic>
          </wp:inline>
        </w:drawing>
      </w:r>
    </w:p>
    <w:p w14:paraId="5EF881A6" w14:textId="77777777" w:rsidR="003F502C" w:rsidRPr="001D52A0" w:rsidRDefault="003F502C" w:rsidP="003F502C">
      <w:pPr>
        <w:autoSpaceDE w:val="0"/>
        <w:autoSpaceDN w:val="0"/>
        <w:adjustRightInd w:val="0"/>
        <w:ind w:left="170"/>
        <w:rPr>
          <w:rFonts w:asciiTheme="minorHAnsi" w:hAnsiTheme="minorHAnsi" w:cs="Arial"/>
          <w:noProof/>
          <w:sz w:val="22"/>
          <w:szCs w:val="22"/>
          <w:lang w:eastAsia="en-GB"/>
        </w:rPr>
      </w:pPr>
    </w:p>
    <w:p w14:paraId="7E929CD6" w14:textId="29257F58" w:rsidR="003F502C" w:rsidRPr="001D52A0" w:rsidRDefault="003F502C" w:rsidP="003F502C">
      <w:pPr>
        <w:autoSpaceDE w:val="0"/>
        <w:autoSpaceDN w:val="0"/>
        <w:adjustRightInd w:val="0"/>
        <w:ind w:left="170"/>
        <w:rPr>
          <w:rFonts w:asciiTheme="minorHAnsi" w:hAnsiTheme="minorHAnsi" w:cs="Arial"/>
          <w:sz w:val="22"/>
          <w:szCs w:val="22"/>
          <w:lang w:eastAsia="en-GB"/>
        </w:rPr>
      </w:pPr>
      <w:r w:rsidRPr="001D52A0">
        <w:rPr>
          <w:rFonts w:asciiTheme="minorHAnsi" w:hAnsiTheme="minorHAnsi" w:cs="Arial"/>
          <w:sz w:val="22"/>
          <w:szCs w:val="22"/>
          <w:lang w:eastAsia="en-GB"/>
        </w:rPr>
        <w:t>The table above shows an average growth in levies of 2.1% per year over the next 5 years. The change in the chart reflects the high starting point due to 2024/25 inflation (6.5%) and the higher longer term projection of inflation of 3</w:t>
      </w:r>
      <w:r w:rsidR="00DE737D" w:rsidRPr="001D52A0">
        <w:rPr>
          <w:rFonts w:asciiTheme="minorHAnsi" w:hAnsiTheme="minorHAnsi" w:cs="Arial"/>
          <w:sz w:val="22"/>
          <w:szCs w:val="22"/>
          <w:lang w:eastAsia="en-GB"/>
        </w:rPr>
        <w:t>%</w:t>
      </w:r>
      <w:r w:rsidRPr="001D52A0">
        <w:rPr>
          <w:rFonts w:asciiTheme="minorHAnsi" w:hAnsiTheme="minorHAnsi" w:cs="Arial"/>
          <w:sz w:val="22"/>
          <w:szCs w:val="22"/>
          <w:lang w:eastAsia="en-GB"/>
        </w:rPr>
        <w:t xml:space="preserve">. In this context, containing the long term growth demonstrates the strength of the Authority’s finances. Boroughs may want to consider using this as an estimate of the increase in the WLWA levies within their medium term financial plans. </w:t>
      </w:r>
    </w:p>
    <w:p w14:paraId="5997AE49" w14:textId="77777777" w:rsidR="003F502C" w:rsidRPr="001D52A0" w:rsidRDefault="003F502C" w:rsidP="003F502C">
      <w:pPr>
        <w:autoSpaceDE w:val="0"/>
        <w:autoSpaceDN w:val="0"/>
        <w:adjustRightInd w:val="0"/>
        <w:ind w:left="170"/>
        <w:jc w:val="both"/>
        <w:rPr>
          <w:rFonts w:asciiTheme="minorHAnsi" w:hAnsiTheme="minorHAnsi" w:cs="Arial"/>
          <w:b/>
          <w:sz w:val="22"/>
          <w:szCs w:val="22"/>
          <w:lang w:eastAsia="en-GB"/>
        </w:rPr>
      </w:pPr>
    </w:p>
    <w:p w14:paraId="2B05F9C4" w14:textId="77777777" w:rsidR="003F502C" w:rsidRPr="001D52A0" w:rsidRDefault="003F502C" w:rsidP="003F502C">
      <w:pPr>
        <w:autoSpaceDE w:val="0"/>
        <w:autoSpaceDN w:val="0"/>
        <w:adjustRightInd w:val="0"/>
        <w:ind w:left="170"/>
        <w:jc w:val="both"/>
        <w:rPr>
          <w:rFonts w:asciiTheme="minorHAnsi" w:hAnsiTheme="minorHAnsi" w:cs="Arial"/>
          <w:sz w:val="22"/>
          <w:szCs w:val="22"/>
          <w:lang w:eastAsia="en-GB"/>
        </w:rPr>
      </w:pPr>
      <w:r w:rsidRPr="001D52A0">
        <w:rPr>
          <w:rFonts w:asciiTheme="minorHAnsi" w:hAnsiTheme="minorHAnsi" w:cs="Arial"/>
          <w:b/>
          <w:sz w:val="22"/>
          <w:szCs w:val="22"/>
          <w:lang w:eastAsia="en-GB"/>
        </w:rPr>
        <w:t>Debt / long-term liabilities and cash</w:t>
      </w:r>
      <w:r w:rsidRPr="001D52A0">
        <w:rPr>
          <w:rFonts w:asciiTheme="minorHAnsi" w:hAnsiTheme="minorHAnsi" w:cs="Arial"/>
          <w:sz w:val="22"/>
          <w:szCs w:val="22"/>
          <w:lang w:eastAsia="en-GB"/>
        </w:rPr>
        <w:t xml:space="preserve"> – The following chart illustrates the movement in the debt / long-term liabilities as they are paid / settled. The repayments commence at a low level and progress at increasingly larger sums, resulting in the debt/long term liability curve. The effect of the financing is reflected in the cash balances which build up in early years and fall in later years. </w:t>
      </w:r>
    </w:p>
    <w:p w14:paraId="1F4BA67A" w14:textId="77777777" w:rsidR="003F502C" w:rsidRPr="001D52A0" w:rsidRDefault="003F502C" w:rsidP="003F502C">
      <w:pPr>
        <w:autoSpaceDE w:val="0"/>
        <w:autoSpaceDN w:val="0"/>
        <w:adjustRightInd w:val="0"/>
        <w:ind w:left="170"/>
        <w:jc w:val="both"/>
        <w:rPr>
          <w:rFonts w:asciiTheme="minorHAnsi" w:hAnsiTheme="minorHAnsi" w:cs="Arial"/>
          <w:sz w:val="22"/>
          <w:szCs w:val="22"/>
          <w:lang w:eastAsia="en-GB"/>
        </w:rPr>
      </w:pPr>
    </w:p>
    <w:p w14:paraId="343E5ABB" w14:textId="3BD6D158" w:rsidR="003F502C" w:rsidRPr="001D52A0" w:rsidRDefault="003F502C" w:rsidP="003F502C">
      <w:pPr>
        <w:autoSpaceDE w:val="0"/>
        <w:autoSpaceDN w:val="0"/>
        <w:adjustRightInd w:val="0"/>
        <w:ind w:left="170"/>
        <w:jc w:val="center"/>
        <w:rPr>
          <w:rFonts w:asciiTheme="minorHAnsi" w:hAnsiTheme="minorHAnsi" w:cs="Arial"/>
          <w:noProof/>
          <w:sz w:val="22"/>
          <w:szCs w:val="22"/>
          <w:lang w:eastAsia="en-GB"/>
        </w:rPr>
      </w:pPr>
      <w:r w:rsidRPr="001D52A0">
        <w:rPr>
          <w:rFonts w:asciiTheme="minorHAnsi" w:hAnsiTheme="minorHAnsi" w:cs="Arial"/>
          <w:noProof/>
          <w:sz w:val="22"/>
          <w:szCs w:val="22"/>
          <w:lang w:eastAsia="en-GB"/>
        </w:rPr>
        <w:drawing>
          <wp:inline distT="0" distB="0" distL="0" distR="0" wp14:anchorId="79594392" wp14:editId="486ECBEB">
            <wp:extent cx="4584700" cy="27495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749550"/>
                    </a:xfrm>
                    <a:prstGeom prst="rect">
                      <a:avLst/>
                    </a:prstGeom>
                    <a:noFill/>
                  </pic:spPr>
                </pic:pic>
              </a:graphicData>
            </a:graphic>
          </wp:inline>
        </w:drawing>
      </w:r>
    </w:p>
    <w:p w14:paraId="572B8B8D" w14:textId="77777777" w:rsidR="003F502C" w:rsidRPr="001D52A0" w:rsidRDefault="003F502C" w:rsidP="003F502C">
      <w:pPr>
        <w:autoSpaceDE w:val="0"/>
        <w:autoSpaceDN w:val="0"/>
        <w:adjustRightInd w:val="0"/>
        <w:ind w:left="170"/>
        <w:jc w:val="center"/>
        <w:rPr>
          <w:rFonts w:asciiTheme="minorHAnsi" w:hAnsiTheme="minorHAnsi" w:cs="Arial"/>
          <w:sz w:val="22"/>
          <w:szCs w:val="22"/>
          <w:lang w:eastAsia="en-GB"/>
        </w:rPr>
      </w:pPr>
    </w:p>
    <w:p w14:paraId="3C959556" w14:textId="56C343B6" w:rsidR="003F502C" w:rsidRPr="001D52A0" w:rsidRDefault="003F502C" w:rsidP="003F502C">
      <w:pPr>
        <w:autoSpaceDE w:val="0"/>
        <w:autoSpaceDN w:val="0"/>
        <w:adjustRightInd w:val="0"/>
        <w:jc w:val="both"/>
        <w:rPr>
          <w:rFonts w:asciiTheme="minorHAnsi" w:hAnsiTheme="minorHAnsi" w:cs="Arial"/>
          <w:sz w:val="22"/>
          <w:szCs w:val="22"/>
          <w:lang w:eastAsia="en-GB"/>
        </w:rPr>
      </w:pPr>
      <w:r w:rsidRPr="001D52A0">
        <w:rPr>
          <w:rFonts w:asciiTheme="minorHAnsi" w:hAnsiTheme="minorHAnsi" w:cs="Arial"/>
          <w:sz w:val="22"/>
          <w:szCs w:val="22"/>
          <w:lang w:eastAsia="en-GB"/>
        </w:rPr>
        <w:t xml:space="preserve">At the end of the plan, the Authority will be debt free. </w:t>
      </w:r>
    </w:p>
    <w:p w14:paraId="1C0977DC" w14:textId="3247E520" w:rsidR="0056749F" w:rsidRPr="001D52A0" w:rsidRDefault="0056749F" w:rsidP="003F502C">
      <w:pPr>
        <w:autoSpaceDE w:val="0"/>
        <w:autoSpaceDN w:val="0"/>
        <w:adjustRightInd w:val="0"/>
        <w:jc w:val="both"/>
        <w:rPr>
          <w:rFonts w:asciiTheme="minorHAnsi" w:hAnsiTheme="minorHAnsi" w:cs="Arial"/>
          <w:sz w:val="22"/>
          <w:szCs w:val="22"/>
          <w:lang w:eastAsia="en-GB"/>
        </w:rPr>
      </w:pPr>
    </w:p>
    <w:p w14:paraId="0B2DCAEE" w14:textId="76CEB8D1" w:rsidR="0056749F" w:rsidRPr="001D52A0" w:rsidRDefault="0056749F" w:rsidP="003F502C">
      <w:pPr>
        <w:autoSpaceDE w:val="0"/>
        <w:autoSpaceDN w:val="0"/>
        <w:adjustRightInd w:val="0"/>
        <w:jc w:val="both"/>
        <w:rPr>
          <w:rFonts w:asciiTheme="minorHAnsi" w:hAnsiTheme="minorHAnsi" w:cs="Arial"/>
          <w:sz w:val="22"/>
          <w:szCs w:val="22"/>
          <w:lang w:eastAsia="en-GB"/>
        </w:rPr>
      </w:pPr>
    </w:p>
    <w:p w14:paraId="518EDA69" w14:textId="7242862E" w:rsidR="003F502C" w:rsidRPr="001D52A0" w:rsidRDefault="003F502C" w:rsidP="003F502C">
      <w:pPr>
        <w:autoSpaceDE w:val="0"/>
        <w:autoSpaceDN w:val="0"/>
        <w:adjustRightInd w:val="0"/>
        <w:spacing w:before="240" w:after="120"/>
        <w:rPr>
          <w:rFonts w:asciiTheme="minorHAnsi" w:hAnsiTheme="minorHAnsi" w:cs="Arial"/>
          <w:b/>
          <w:sz w:val="22"/>
          <w:szCs w:val="22"/>
          <w:lang w:eastAsia="en-GB"/>
        </w:rPr>
      </w:pPr>
      <w:r w:rsidRPr="001D52A0">
        <w:rPr>
          <w:rFonts w:asciiTheme="minorHAnsi" w:hAnsiTheme="minorHAnsi" w:cs="Arial"/>
          <w:b/>
          <w:sz w:val="22"/>
          <w:szCs w:val="22"/>
          <w:lang w:eastAsia="en-GB"/>
        </w:rPr>
        <w:t>Sensitivity Analysis</w:t>
      </w:r>
    </w:p>
    <w:p w14:paraId="705DC3A3" w14:textId="77777777" w:rsidR="003F502C" w:rsidRPr="001D52A0" w:rsidRDefault="003F502C" w:rsidP="003F502C">
      <w:pPr>
        <w:autoSpaceDE w:val="0"/>
        <w:autoSpaceDN w:val="0"/>
        <w:adjustRightInd w:val="0"/>
        <w:spacing w:before="240" w:after="120"/>
        <w:rPr>
          <w:rFonts w:asciiTheme="minorHAnsi" w:hAnsiTheme="minorHAnsi" w:cs="Arial"/>
          <w:sz w:val="22"/>
          <w:szCs w:val="22"/>
          <w:lang w:eastAsia="en-GB"/>
        </w:rPr>
      </w:pPr>
      <w:r w:rsidRPr="001D52A0">
        <w:rPr>
          <w:rFonts w:asciiTheme="minorHAnsi" w:hAnsiTheme="minorHAnsi" w:cs="Arial"/>
          <w:sz w:val="22"/>
          <w:szCs w:val="22"/>
          <w:lang w:eastAsia="en-GB"/>
        </w:rPr>
        <w:t>The two tables below illustrate that the impact of the change in residual waste volumes is the key driver of costs/levies with changes in inflation having a much smaller impact. This is because the effect of inflation is considerably dampened by the long term PPP contract.</w:t>
      </w:r>
    </w:p>
    <w:p w14:paraId="582727B8" w14:textId="77777777" w:rsidR="003F502C" w:rsidRPr="001D52A0" w:rsidRDefault="003F502C" w:rsidP="003F502C">
      <w:pPr>
        <w:autoSpaceDE w:val="0"/>
        <w:autoSpaceDN w:val="0"/>
        <w:adjustRightInd w:val="0"/>
        <w:spacing w:before="240" w:after="120"/>
        <w:rPr>
          <w:rFonts w:asciiTheme="minorHAnsi" w:hAnsiTheme="minorHAnsi" w:cs="Arial"/>
          <w:sz w:val="22"/>
          <w:szCs w:val="22"/>
          <w:lang w:eastAsia="en-GB"/>
        </w:rPr>
      </w:pPr>
      <w:r w:rsidRPr="001D52A0">
        <w:rPr>
          <w:rFonts w:asciiTheme="minorHAnsi" w:hAnsiTheme="minorHAnsi" w:cs="Arial"/>
          <w:sz w:val="22"/>
          <w:szCs w:val="22"/>
          <w:lang w:eastAsia="en-GB"/>
        </w:rPr>
        <w:t>Residual tonnages.</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2872"/>
      </w:tblGrid>
      <w:tr w:rsidR="003F502C" w:rsidRPr="001D52A0" w14:paraId="356A2C2E" w14:textId="77777777" w:rsidTr="00747CD0">
        <w:tc>
          <w:tcPr>
            <w:tcW w:w="2798" w:type="dxa"/>
            <w:shd w:val="clear" w:color="auto" w:fill="auto"/>
          </w:tcPr>
          <w:p w14:paraId="712BA012" w14:textId="77777777" w:rsidR="003F502C" w:rsidRPr="001D52A0" w:rsidRDefault="003F502C" w:rsidP="00747CD0">
            <w:pPr>
              <w:autoSpaceDE w:val="0"/>
              <w:autoSpaceDN w:val="0"/>
              <w:adjustRightInd w:val="0"/>
              <w:rPr>
                <w:rFonts w:asciiTheme="minorHAnsi" w:hAnsiTheme="minorHAnsi" w:cs="Arial"/>
                <w:sz w:val="22"/>
                <w:szCs w:val="22"/>
                <w:lang w:eastAsia="en-GB"/>
              </w:rPr>
            </w:pPr>
            <w:r w:rsidRPr="001D52A0">
              <w:rPr>
                <w:rFonts w:asciiTheme="minorHAnsi" w:hAnsiTheme="minorHAnsi" w:cs="Arial"/>
                <w:sz w:val="22"/>
                <w:szCs w:val="22"/>
                <w:lang w:eastAsia="en-GB"/>
              </w:rPr>
              <w:t>Residual waste growth assumption</w:t>
            </w:r>
          </w:p>
        </w:tc>
        <w:tc>
          <w:tcPr>
            <w:tcW w:w="2872" w:type="dxa"/>
            <w:shd w:val="clear" w:color="auto" w:fill="auto"/>
          </w:tcPr>
          <w:p w14:paraId="31A8D7C3" w14:textId="77777777" w:rsidR="003F502C" w:rsidRPr="001D52A0" w:rsidRDefault="003F502C" w:rsidP="00747CD0">
            <w:pPr>
              <w:autoSpaceDE w:val="0"/>
              <w:autoSpaceDN w:val="0"/>
              <w:adjustRightInd w:val="0"/>
              <w:rPr>
                <w:rFonts w:asciiTheme="minorHAnsi" w:hAnsiTheme="minorHAnsi" w:cs="Arial"/>
                <w:sz w:val="22"/>
                <w:szCs w:val="22"/>
                <w:lang w:eastAsia="en-GB"/>
              </w:rPr>
            </w:pPr>
            <w:r w:rsidRPr="001D52A0">
              <w:rPr>
                <w:rFonts w:asciiTheme="minorHAnsi" w:hAnsiTheme="minorHAnsi" w:cs="Arial"/>
                <w:sz w:val="22"/>
                <w:szCs w:val="22"/>
                <w:lang w:eastAsia="en-GB"/>
              </w:rPr>
              <w:t xml:space="preserve">Average rise in costs / levies over 5 years </w:t>
            </w:r>
          </w:p>
        </w:tc>
      </w:tr>
      <w:tr w:rsidR="003F502C" w:rsidRPr="001D52A0" w14:paraId="6163CBF1" w14:textId="77777777" w:rsidTr="00747CD0">
        <w:tc>
          <w:tcPr>
            <w:tcW w:w="2798" w:type="dxa"/>
            <w:shd w:val="clear" w:color="auto" w:fill="auto"/>
          </w:tcPr>
          <w:p w14:paraId="452DC078" w14:textId="77777777" w:rsidR="003F502C" w:rsidRPr="001D52A0" w:rsidRDefault="003F502C" w:rsidP="00747CD0">
            <w:pPr>
              <w:autoSpaceDE w:val="0"/>
              <w:autoSpaceDN w:val="0"/>
              <w:adjustRightInd w:val="0"/>
              <w:rPr>
                <w:rFonts w:asciiTheme="minorHAnsi" w:hAnsiTheme="minorHAnsi" w:cs="Arial"/>
                <w:sz w:val="22"/>
                <w:szCs w:val="22"/>
                <w:lang w:eastAsia="en-GB"/>
              </w:rPr>
            </w:pPr>
            <w:r w:rsidRPr="001D52A0">
              <w:rPr>
                <w:rFonts w:asciiTheme="minorHAnsi" w:hAnsiTheme="minorHAnsi" w:cs="Arial"/>
                <w:sz w:val="22"/>
                <w:szCs w:val="22"/>
                <w:lang w:eastAsia="en-GB"/>
              </w:rPr>
              <w:t>-5%</w:t>
            </w:r>
          </w:p>
        </w:tc>
        <w:tc>
          <w:tcPr>
            <w:tcW w:w="2872" w:type="dxa"/>
            <w:shd w:val="clear" w:color="auto" w:fill="auto"/>
          </w:tcPr>
          <w:p w14:paraId="073D9AAE" w14:textId="07DC4473" w:rsidR="003F502C" w:rsidRPr="001D52A0" w:rsidRDefault="00DE737D" w:rsidP="00747CD0">
            <w:pPr>
              <w:autoSpaceDE w:val="0"/>
              <w:autoSpaceDN w:val="0"/>
              <w:adjustRightInd w:val="0"/>
              <w:rPr>
                <w:rFonts w:asciiTheme="minorHAnsi" w:hAnsiTheme="minorHAnsi" w:cs="Arial"/>
                <w:sz w:val="22"/>
                <w:szCs w:val="22"/>
                <w:lang w:eastAsia="en-GB"/>
              </w:rPr>
            </w:pPr>
            <w:r w:rsidRPr="001D52A0">
              <w:rPr>
                <w:rFonts w:asciiTheme="minorHAnsi" w:hAnsiTheme="minorHAnsi" w:cs="Arial"/>
                <w:sz w:val="22"/>
                <w:szCs w:val="22"/>
                <w:lang w:eastAsia="en-GB"/>
              </w:rPr>
              <w:t>-3.9%</w:t>
            </w:r>
          </w:p>
        </w:tc>
      </w:tr>
      <w:tr w:rsidR="003F502C" w:rsidRPr="001D52A0" w14:paraId="6E15DB25" w14:textId="77777777" w:rsidTr="00747CD0">
        <w:tc>
          <w:tcPr>
            <w:tcW w:w="2798" w:type="dxa"/>
            <w:shd w:val="clear" w:color="auto" w:fill="auto"/>
          </w:tcPr>
          <w:p w14:paraId="4C93C85F" w14:textId="77777777" w:rsidR="003F502C" w:rsidRPr="001D52A0" w:rsidRDefault="003F502C" w:rsidP="00747CD0">
            <w:pPr>
              <w:autoSpaceDE w:val="0"/>
              <w:autoSpaceDN w:val="0"/>
              <w:adjustRightInd w:val="0"/>
              <w:rPr>
                <w:rFonts w:asciiTheme="minorHAnsi" w:hAnsiTheme="minorHAnsi" w:cs="Arial"/>
                <w:sz w:val="22"/>
                <w:szCs w:val="22"/>
                <w:lang w:eastAsia="en-GB"/>
              </w:rPr>
            </w:pPr>
            <w:r w:rsidRPr="001D52A0">
              <w:rPr>
                <w:rFonts w:asciiTheme="minorHAnsi" w:hAnsiTheme="minorHAnsi" w:cs="Arial"/>
                <w:sz w:val="22"/>
                <w:szCs w:val="22"/>
                <w:lang w:eastAsia="en-GB"/>
              </w:rPr>
              <w:t>-2%</w:t>
            </w:r>
          </w:p>
        </w:tc>
        <w:tc>
          <w:tcPr>
            <w:tcW w:w="2872" w:type="dxa"/>
            <w:shd w:val="clear" w:color="auto" w:fill="auto"/>
          </w:tcPr>
          <w:p w14:paraId="5C7ACCF6" w14:textId="41130735" w:rsidR="003F502C" w:rsidRPr="001D52A0" w:rsidRDefault="003F502C" w:rsidP="00747CD0">
            <w:pPr>
              <w:autoSpaceDE w:val="0"/>
              <w:autoSpaceDN w:val="0"/>
              <w:adjustRightInd w:val="0"/>
              <w:rPr>
                <w:rFonts w:asciiTheme="minorHAnsi" w:hAnsiTheme="minorHAnsi" w:cs="Arial"/>
                <w:sz w:val="22"/>
                <w:szCs w:val="22"/>
                <w:lang w:eastAsia="en-GB"/>
              </w:rPr>
            </w:pPr>
            <w:r w:rsidRPr="001D52A0">
              <w:rPr>
                <w:rFonts w:asciiTheme="minorHAnsi" w:hAnsiTheme="minorHAnsi" w:cs="Arial"/>
                <w:sz w:val="22"/>
                <w:szCs w:val="22"/>
                <w:lang w:eastAsia="en-GB"/>
              </w:rPr>
              <w:t>-0</w:t>
            </w:r>
            <w:r w:rsidR="00DE737D" w:rsidRPr="001D52A0">
              <w:rPr>
                <w:rFonts w:asciiTheme="minorHAnsi" w:hAnsiTheme="minorHAnsi" w:cs="Arial"/>
                <w:sz w:val="22"/>
                <w:szCs w:val="22"/>
                <w:lang w:eastAsia="en-GB"/>
              </w:rPr>
              <w:t>.6%</w:t>
            </w:r>
          </w:p>
        </w:tc>
      </w:tr>
      <w:tr w:rsidR="003F502C" w:rsidRPr="001D52A0" w14:paraId="77E3F920" w14:textId="77777777" w:rsidTr="00747CD0">
        <w:tc>
          <w:tcPr>
            <w:tcW w:w="2798" w:type="dxa"/>
            <w:shd w:val="clear" w:color="auto" w:fill="auto"/>
          </w:tcPr>
          <w:p w14:paraId="57851C37" w14:textId="77777777" w:rsidR="003F502C" w:rsidRPr="001D52A0" w:rsidRDefault="003F502C" w:rsidP="00747CD0">
            <w:pPr>
              <w:autoSpaceDE w:val="0"/>
              <w:autoSpaceDN w:val="0"/>
              <w:adjustRightInd w:val="0"/>
              <w:rPr>
                <w:rFonts w:asciiTheme="minorHAnsi" w:hAnsiTheme="minorHAnsi" w:cs="Arial"/>
                <w:sz w:val="22"/>
                <w:szCs w:val="22"/>
                <w:lang w:eastAsia="en-GB"/>
              </w:rPr>
            </w:pPr>
            <w:r w:rsidRPr="001D52A0">
              <w:rPr>
                <w:rFonts w:asciiTheme="minorHAnsi" w:hAnsiTheme="minorHAnsi" w:cs="Arial"/>
                <w:sz w:val="22"/>
                <w:szCs w:val="22"/>
                <w:lang w:eastAsia="en-GB"/>
              </w:rPr>
              <w:t>-1.5%</w:t>
            </w:r>
          </w:p>
        </w:tc>
        <w:tc>
          <w:tcPr>
            <w:tcW w:w="2872" w:type="dxa"/>
            <w:shd w:val="clear" w:color="auto" w:fill="auto"/>
          </w:tcPr>
          <w:p w14:paraId="28985AE6" w14:textId="40447D24" w:rsidR="003F502C" w:rsidRPr="001D52A0" w:rsidRDefault="00DE737D" w:rsidP="00747CD0">
            <w:pPr>
              <w:autoSpaceDE w:val="0"/>
              <w:autoSpaceDN w:val="0"/>
              <w:adjustRightInd w:val="0"/>
              <w:rPr>
                <w:rFonts w:asciiTheme="minorHAnsi" w:hAnsiTheme="minorHAnsi" w:cs="Arial"/>
                <w:sz w:val="22"/>
                <w:szCs w:val="22"/>
                <w:lang w:eastAsia="en-GB"/>
              </w:rPr>
            </w:pPr>
            <w:r w:rsidRPr="001D52A0">
              <w:rPr>
                <w:rFonts w:asciiTheme="minorHAnsi" w:hAnsiTheme="minorHAnsi" w:cs="Arial"/>
                <w:sz w:val="22"/>
                <w:szCs w:val="22"/>
                <w:lang w:eastAsia="en-GB"/>
              </w:rPr>
              <w:t>-0.1</w:t>
            </w:r>
            <w:r w:rsidR="003F502C" w:rsidRPr="001D52A0">
              <w:rPr>
                <w:rFonts w:asciiTheme="minorHAnsi" w:hAnsiTheme="minorHAnsi" w:cs="Arial"/>
                <w:sz w:val="22"/>
                <w:szCs w:val="22"/>
                <w:lang w:eastAsia="en-GB"/>
              </w:rPr>
              <w:t>%</w:t>
            </w:r>
          </w:p>
        </w:tc>
      </w:tr>
      <w:tr w:rsidR="003F502C" w:rsidRPr="001D52A0" w14:paraId="14B328BE" w14:textId="77777777" w:rsidTr="00747CD0">
        <w:tc>
          <w:tcPr>
            <w:tcW w:w="2798" w:type="dxa"/>
            <w:shd w:val="clear" w:color="auto" w:fill="auto"/>
          </w:tcPr>
          <w:p w14:paraId="7FD93D14" w14:textId="77777777" w:rsidR="003F502C" w:rsidRPr="001D52A0" w:rsidRDefault="003F502C" w:rsidP="00747CD0">
            <w:pPr>
              <w:autoSpaceDE w:val="0"/>
              <w:autoSpaceDN w:val="0"/>
              <w:adjustRightInd w:val="0"/>
              <w:rPr>
                <w:rFonts w:asciiTheme="minorHAnsi" w:hAnsiTheme="minorHAnsi" w:cs="Arial"/>
                <w:sz w:val="22"/>
                <w:szCs w:val="22"/>
                <w:lang w:eastAsia="en-GB"/>
              </w:rPr>
            </w:pPr>
            <w:r w:rsidRPr="001D52A0">
              <w:rPr>
                <w:rFonts w:asciiTheme="minorHAnsi" w:hAnsiTheme="minorHAnsi" w:cs="Arial"/>
                <w:sz w:val="22"/>
                <w:szCs w:val="22"/>
                <w:lang w:eastAsia="en-GB"/>
              </w:rPr>
              <w:t>-1%</w:t>
            </w:r>
          </w:p>
        </w:tc>
        <w:tc>
          <w:tcPr>
            <w:tcW w:w="2872" w:type="dxa"/>
            <w:shd w:val="clear" w:color="auto" w:fill="auto"/>
          </w:tcPr>
          <w:p w14:paraId="4C091D3A" w14:textId="1D6BE371" w:rsidR="003F502C" w:rsidRPr="001D52A0" w:rsidRDefault="00DE737D" w:rsidP="00747CD0">
            <w:pPr>
              <w:autoSpaceDE w:val="0"/>
              <w:autoSpaceDN w:val="0"/>
              <w:adjustRightInd w:val="0"/>
              <w:rPr>
                <w:rFonts w:asciiTheme="minorHAnsi" w:hAnsiTheme="minorHAnsi" w:cs="Arial"/>
                <w:sz w:val="22"/>
                <w:szCs w:val="22"/>
                <w:lang w:eastAsia="en-GB"/>
              </w:rPr>
            </w:pPr>
            <w:r w:rsidRPr="001D52A0">
              <w:rPr>
                <w:rFonts w:asciiTheme="minorHAnsi" w:hAnsiTheme="minorHAnsi" w:cs="Arial"/>
                <w:sz w:val="22"/>
                <w:szCs w:val="22"/>
                <w:lang w:eastAsia="en-GB"/>
              </w:rPr>
              <w:t>0.4</w:t>
            </w:r>
            <w:r w:rsidR="003F502C" w:rsidRPr="001D52A0">
              <w:rPr>
                <w:rFonts w:asciiTheme="minorHAnsi" w:hAnsiTheme="minorHAnsi" w:cs="Arial"/>
                <w:sz w:val="22"/>
                <w:szCs w:val="22"/>
                <w:lang w:eastAsia="en-GB"/>
              </w:rPr>
              <w:t>%</w:t>
            </w:r>
          </w:p>
        </w:tc>
      </w:tr>
      <w:tr w:rsidR="003F502C" w:rsidRPr="001D52A0" w14:paraId="0F24BF86" w14:textId="77777777" w:rsidTr="00747CD0">
        <w:tc>
          <w:tcPr>
            <w:tcW w:w="2798" w:type="dxa"/>
            <w:shd w:val="clear" w:color="auto" w:fill="auto"/>
          </w:tcPr>
          <w:p w14:paraId="382EBF5D" w14:textId="77777777" w:rsidR="003F502C" w:rsidRPr="001D52A0" w:rsidRDefault="003F502C" w:rsidP="00747CD0">
            <w:pPr>
              <w:autoSpaceDE w:val="0"/>
              <w:autoSpaceDN w:val="0"/>
              <w:adjustRightInd w:val="0"/>
              <w:rPr>
                <w:rFonts w:asciiTheme="minorHAnsi" w:hAnsiTheme="minorHAnsi" w:cs="Arial"/>
                <w:sz w:val="22"/>
                <w:szCs w:val="22"/>
                <w:lang w:eastAsia="en-GB"/>
              </w:rPr>
            </w:pPr>
            <w:r w:rsidRPr="001D52A0">
              <w:rPr>
                <w:rFonts w:asciiTheme="minorHAnsi" w:hAnsiTheme="minorHAnsi" w:cs="Arial"/>
                <w:sz w:val="22"/>
                <w:szCs w:val="22"/>
                <w:lang w:eastAsia="en-GB"/>
              </w:rPr>
              <w:t>-0.5%</w:t>
            </w:r>
          </w:p>
        </w:tc>
        <w:tc>
          <w:tcPr>
            <w:tcW w:w="2872" w:type="dxa"/>
            <w:shd w:val="clear" w:color="auto" w:fill="auto"/>
          </w:tcPr>
          <w:p w14:paraId="7470316B" w14:textId="36F73244" w:rsidR="003F502C" w:rsidRPr="001D52A0" w:rsidRDefault="00DE737D" w:rsidP="00747CD0">
            <w:pPr>
              <w:autoSpaceDE w:val="0"/>
              <w:autoSpaceDN w:val="0"/>
              <w:adjustRightInd w:val="0"/>
              <w:rPr>
                <w:rFonts w:asciiTheme="minorHAnsi" w:hAnsiTheme="minorHAnsi" w:cs="Arial"/>
                <w:sz w:val="22"/>
                <w:szCs w:val="22"/>
                <w:lang w:eastAsia="en-GB"/>
              </w:rPr>
            </w:pPr>
            <w:r w:rsidRPr="001D52A0">
              <w:rPr>
                <w:rFonts w:asciiTheme="minorHAnsi" w:hAnsiTheme="minorHAnsi" w:cs="Arial"/>
                <w:sz w:val="22"/>
                <w:szCs w:val="22"/>
                <w:lang w:eastAsia="en-GB"/>
              </w:rPr>
              <w:t>1.0</w:t>
            </w:r>
            <w:r w:rsidR="003F502C" w:rsidRPr="001D52A0">
              <w:rPr>
                <w:rFonts w:asciiTheme="minorHAnsi" w:hAnsiTheme="minorHAnsi" w:cs="Arial"/>
                <w:sz w:val="22"/>
                <w:szCs w:val="22"/>
                <w:lang w:eastAsia="en-GB"/>
              </w:rPr>
              <w:t>%</w:t>
            </w:r>
          </w:p>
        </w:tc>
      </w:tr>
      <w:tr w:rsidR="003F502C" w:rsidRPr="001D52A0" w14:paraId="3A9FC8B8" w14:textId="77777777" w:rsidTr="00747CD0">
        <w:tc>
          <w:tcPr>
            <w:tcW w:w="2798" w:type="dxa"/>
            <w:shd w:val="clear" w:color="auto" w:fill="auto"/>
          </w:tcPr>
          <w:p w14:paraId="0FD42FA8" w14:textId="77777777" w:rsidR="003F502C" w:rsidRPr="001D52A0" w:rsidRDefault="003F502C" w:rsidP="00747CD0">
            <w:pPr>
              <w:autoSpaceDE w:val="0"/>
              <w:autoSpaceDN w:val="0"/>
              <w:adjustRightInd w:val="0"/>
              <w:rPr>
                <w:rFonts w:asciiTheme="minorHAnsi" w:hAnsiTheme="minorHAnsi" w:cs="Arial"/>
                <w:sz w:val="22"/>
                <w:szCs w:val="22"/>
                <w:lang w:eastAsia="en-GB"/>
              </w:rPr>
            </w:pPr>
            <w:r w:rsidRPr="001D52A0">
              <w:rPr>
                <w:rFonts w:asciiTheme="minorHAnsi" w:hAnsiTheme="minorHAnsi" w:cs="Arial"/>
                <w:sz w:val="22"/>
                <w:szCs w:val="22"/>
                <w:lang w:eastAsia="en-GB"/>
              </w:rPr>
              <w:t>0%</w:t>
            </w:r>
          </w:p>
        </w:tc>
        <w:tc>
          <w:tcPr>
            <w:tcW w:w="2872" w:type="dxa"/>
            <w:shd w:val="clear" w:color="auto" w:fill="auto"/>
          </w:tcPr>
          <w:p w14:paraId="5A34E771" w14:textId="345D4205" w:rsidR="003F502C" w:rsidRPr="001D52A0" w:rsidRDefault="00DE737D" w:rsidP="00747CD0">
            <w:pPr>
              <w:autoSpaceDE w:val="0"/>
              <w:autoSpaceDN w:val="0"/>
              <w:adjustRightInd w:val="0"/>
              <w:rPr>
                <w:rFonts w:asciiTheme="minorHAnsi" w:hAnsiTheme="minorHAnsi" w:cs="Arial"/>
                <w:sz w:val="22"/>
                <w:szCs w:val="22"/>
                <w:lang w:eastAsia="en-GB"/>
              </w:rPr>
            </w:pPr>
            <w:r w:rsidRPr="001D52A0">
              <w:rPr>
                <w:rFonts w:asciiTheme="minorHAnsi" w:hAnsiTheme="minorHAnsi" w:cs="Arial"/>
                <w:sz w:val="22"/>
                <w:szCs w:val="22"/>
                <w:lang w:eastAsia="en-GB"/>
              </w:rPr>
              <w:t>1.5</w:t>
            </w:r>
            <w:r w:rsidR="003F502C" w:rsidRPr="001D52A0">
              <w:rPr>
                <w:rFonts w:asciiTheme="minorHAnsi" w:hAnsiTheme="minorHAnsi" w:cs="Arial"/>
                <w:sz w:val="22"/>
                <w:szCs w:val="22"/>
                <w:lang w:eastAsia="en-GB"/>
              </w:rPr>
              <w:t>%</w:t>
            </w:r>
          </w:p>
        </w:tc>
      </w:tr>
      <w:tr w:rsidR="003F502C" w:rsidRPr="001D52A0" w14:paraId="49A0F76C" w14:textId="77777777" w:rsidTr="00747CD0">
        <w:tc>
          <w:tcPr>
            <w:tcW w:w="2798" w:type="dxa"/>
            <w:shd w:val="clear" w:color="auto" w:fill="auto"/>
          </w:tcPr>
          <w:p w14:paraId="1EE41F8D" w14:textId="77777777" w:rsidR="003F502C" w:rsidRPr="001D52A0" w:rsidRDefault="003F502C" w:rsidP="00747CD0">
            <w:pPr>
              <w:autoSpaceDE w:val="0"/>
              <w:autoSpaceDN w:val="0"/>
              <w:adjustRightInd w:val="0"/>
              <w:rPr>
                <w:rFonts w:asciiTheme="minorHAnsi" w:hAnsiTheme="minorHAnsi" w:cs="Arial"/>
                <w:sz w:val="22"/>
                <w:szCs w:val="22"/>
                <w:lang w:eastAsia="en-GB"/>
              </w:rPr>
            </w:pPr>
            <w:r w:rsidRPr="001D52A0">
              <w:rPr>
                <w:rFonts w:asciiTheme="minorHAnsi" w:hAnsiTheme="minorHAnsi" w:cs="Arial"/>
                <w:sz w:val="22"/>
                <w:szCs w:val="22"/>
                <w:lang w:eastAsia="en-GB"/>
              </w:rPr>
              <w:t>0.5% base</w:t>
            </w:r>
          </w:p>
        </w:tc>
        <w:tc>
          <w:tcPr>
            <w:tcW w:w="2872" w:type="dxa"/>
            <w:shd w:val="clear" w:color="auto" w:fill="auto"/>
          </w:tcPr>
          <w:p w14:paraId="309B1C7F" w14:textId="2CA13B1F" w:rsidR="003F502C" w:rsidRPr="001D52A0" w:rsidRDefault="00DE737D" w:rsidP="00747CD0">
            <w:pPr>
              <w:autoSpaceDE w:val="0"/>
              <w:autoSpaceDN w:val="0"/>
              <w:adjustRightInd w:val="0"/>
              <w:rPr>
                <w:rFonts w:asciiTheme="minorHAnsi" w:hAnsiTheme="minorHAnsi" w:cs="Arial"/>
                <w:sz w:val="22"/>
                <w:szCs w:val="22"/>
                <w:lang w:eastAsia="en-GB"/>
              </w:rPr>
            </w:pPr>
            <w:r w:rsidRPr="001D52A0">
              <w:rPr>
                <w:rFonts w:asciiTheme="minorHAnsi" w:hAnsiTheme="minorHAnsi" w:cs="Arial"/>
                <w:sz w:val="22"/>
                <w:szCs w:val="22"/>
                <w:lang w:eastAsia="en-GB"/>
              </w:rPr>
              <w:t>2.1</w:t>
            </w:r>
            <w:r w:rsidR="003F502C" w:rsidRPr="001D52A0">
              <w:rPr>
                <w:rFonts w:asciiTheme="minorHAnsi" w:hAnsiTheme="minorHAnsi" w:cs="Arial"/>
                <w:sz w:val="22"/>
                <w:szCs w:val="22"/>
                <w:lang w:eastAsia="en-GB"/>
              </w:rPr>
              <w:t>%</w:t>
            </w:r>
          </w:p>
        </w:tc>
      </w:tr>
      <w:tr w:rsidR="003F502C" w:rsidRPr="001D52A0" w14:paraId="75918473" w14:textId="77777777" w:rsidTr="00747CD0">
        <w:tc>
          <w:tcPr>
            <w:tcW w:w="2798" w:type="dxa"/>
            <w:shd w:val="clear" w:color="auto" w:fill="auto"/>
          </w:tcPr>
          <w:p w14:paraId="3F40C86B" w14:textId="77777777" w:rsidR="003F502C" w:rsidRPr="001D52A0" w:rsidRDefault="003F502C" w:rsidP="00747CD0">
            <w:pPr>
              <w:autoSpaceDE w:val="0"/>
              <w:autoSpaceDN w:val="0"/>
              <w:adjustRightInd w:val="0"/>
              <w:rPr>
                <w:rFonts w:asciiTheme="minorHAnsi" w:hAnsiTheme="minorHAnsi" w:cs="Arial"/>
                <w:sz w:val="22"/>
                <w:szCs w:val="22"/>
                <w:lang w:eastAsia="en-GB"/>
              </w:rPr>
            </w:pPr>
            <w:r w:rsidRPr="001D52A0">
              <w:rPr>
                <w:rFonts w:asciiTheme="minorHAnsi" w:hAnsiTheme="minorHAnsi" w:cs="Arial"/>
                <w:sz w:val="22"/>
                <w:szCs w:val="22"/>
                <w:lang w:eastAsia="en-GB"/>
              </w:rPr>
              <w:t>1%</w:t>
            </w:r>
          </w:p>
        </w:tc>
        <w:tc>
          <w:tcPr>
            <w:tcW w:w="2872" w:type="dxa"/>
            <w:shd w:val="clear" w:color="auto" w:fill="auto"/>
          </w:tcPr>
          <w:p w14:paraId="33559713" w14:textId="78376082" w:rsidR="003F502C" w:rsidRPr="001D52A0" w:rsidRDefault="00DE737D" w:rsidP="00747CD0">
            <w:pPr>
              <w:autoSpaceDE w:val="0"/>
              <w:autoSpaceDN w:val="0"/>
              <w:adjustRightInd w:val="0"/>
              <w:rPr>
                <w:rFonts w:asciiTheme="minorHAnsi" w:hAnsiTheme="minorHAnsi" w:cs="Arial"/>
                <w:sz w:val="22"/>
                <w:szCs w:val="22"/>
                <w:lang w:eastAsia="en-GB"/>
              </w:rPr>
            </w:pPr>
            <w:r w:rsidRPr="001D52A0">
              <w:rPr>
                <w:rFonts w:asciiTheme="minorHAnsi" w:hAnsiTheme="minorHAnsi" w:cs="Arial"/>
                <w:sz w:val="22"/>
                <w:szCs w:val="22"/>
                <w:lang w:eastAsia="en-GB"/>
              </w:rPr>
              <w:t>2.6</w:t>
            </w:r>
            <w:r w:rsidR="003F502C" w:rsidRPr="001D52A0">
              <w:rPr>
                <w:rFonts w:asciiTheme="minorHAnsi" w:hAnsiTheme="minorHAnsi" w:cs="Arial"/>
                <w:sz w:val="22"/>
                <w:szCs w:val="22"/>
                <w:lang w:eastAsia="en-GB"/>
              </w:rPr>
              <w:t>%</w:t>
            </w:r>
          </w:p>
        </w:tc>
      </w:tr>
      <w:tr w:rsidR="003F502C" w:rsidRPr="001D52A0" w14:paraId="7B6A56E8" w14:textId="77777777" w:rsidTr="00747CD0">
        <w:tc>
          <w:tcPr>
            <w:tcW w:w="2798" w:type="dxa"/>
            <w:shd w:val="clear" w:color="auto" w:fill="auto"/>
          </w:tcPr>
          <w:p w14:paraId="6A9313BB" w14:textId="77777777" w:rsidR="003F502C" w:rsidRPr="001D52A0" w:rsidRDefault="003F502C" w:rsidP="00747CD0">
            <w:pPr>
              <w:autoSpaceDE w:val="0"/>
              <w:autoSpaceDN w:val="0"/>
              <w:adjustRightInd w:val="0"/>
              <w:rPr>
                <w:rFonts w:asciiTheme="minorHAnsi" w:hAnsiTheme="minorHAnsi" w:cs="Arial"/>
                <w:sz w:val="22"/>
                <w:szCs w:val="22"/>
                <w:lang w:eastAsia="en-GB"/>
              </w:rPr>
            </w:pPr>
            <w:r w:rsidRPr="001D52A0">
              <w:rPr>
                <w:rFonts w:asciiTheme="minorHAnsi" w:hAnsiTheme="minorHAnsi" w:cs="Arial"/>
                <w:sz w:val="22"/>
                <w:szCs w:val="22"/>
                <w:lang w:eastAsia="en-GB"/>
              </w:rPr>
              <w:t>1.5%</w:t>
            </w:r>
          </w:p>
        </w:tc>
        <w:tc>
          <w:tcPr>
            <w:tcW w:w="2872" w:type="dxa"/>
            <w:shd w:val="clear" w:color="auto" w:fill="auto"/>
          </w:tcPr>
          <w:p w14:paraId="2768D2C3" w14:textId="4A79CFD3" w:rsidR="003F502C" w:rsidRPr="001D52A0" w:rsidRDefault="00DE737D" w:rsidP="00747CD0">
            <w:pPr>
              <w:autoSpaceDE w:val="0"/>
              <w:autoSpaceDN w:val="0"/>
              <w:adjustRightInd w:val="0"/>
              <w:rPr>
                <w:rFonts w:asciiTheme="minorHAnsi" w:hAnsiTheme="minorHAnsi" w:cs="Arial"/>
                <w:sz w:val="22"/>
                <w:szCs w:val="22"/>
                <w:lang w:eastAsia="en-GB"/>
              </w:rPr>
            </w:pPr>
            <w:r w:rsidRPr="001D52A0">
              <w:rPr>
                <w:rFonts w:asciiTheme="minorHAnsi" w:hAnsiTheme="minorHAnsi" w:cs="Arial"/>
                <w:sz w:val="22"/>
                <w:szCs w:val="22"/>
                <w:lang w:eastAsia="en-GB"/>
              </w:rPr>
              <w:t>3.1</w:t>
            </w:r>
            <w:r w:rsidR="003F502C" w:rsidRPr="001D52A0">
              <w:rPr>
                <w:rFonts w:asciiTheme="minorHAnsi" w:hAnsiTheme="minorHAnsi" w:cs="Arial"/>
                <w:sz w:val="22"/>
                <w:szCs w:val="22"/>
                <w:lang w:eastAsia="en-GB"/>
              </w:rPr>
              <w:t>%</w:t>
            </w:r>
          </w:p>
        </w:tc>
      </w:tr>
      <w:tr w:rsidR="003F502C" w:rsidRPr="001D52A0" w14:paraId="6521BB41" w14:textId="77777777" w:rsidTr="00747CD0">
        <w:tc>
          <w:tcPr>
            <w:tcW w:w="2798" w:type="dxa"/>
            <w:shd w:val="clear" w:color="auto" w:fill="auto"/>
          </w:tcPr>
          <w:p w14:paraId="3994FAD7" w14:textId="77777777" w:rsidR="003F502C" w:rsidRPr="001D52A0" w:rsidRDefault="003F502C" w:rsidP="00747CD0">
            <w:pPr>
              <w:autoSpaceDE w:val="0"/>
              <w:autoSpaceDN w:val="0"/>
              <w:adjustRightInd w:val="0"/>
              <w:rPr>
                <w:rFonts w:asciiTheme="minorHAnsi" w:hAnsiTheme="minorHAnsi" w:cs="Arial"/>
                <w:sz w:val="22"/>
                <w:szCs w:val="22"/>
                <w:lang w:eastAsia="en-GB"/>
              </w:rPr>
            </w:pPr>
            <w:r w:rsidRPr="001D52A0">
              <w:rPr>
                <w:rFonts w:asciiTheme="minorHAnsi" w:hAnsiTheme="minorHAnsi" w:cs="Arial"/>
                <w:sz w:val="22"/>
                <w:szCs w:val="22"/>
                <w:lang w:eastAsia="en-GB"/>
              </w:rPr>
              <w:t>2%</w:t>
            </w:r>
          </w:p>
        </w:tc>
        <w:tc>
          <w:tcPr>
            <w:tcW w:w="2872" w:type="dxa"/>
            <w:shd w:val="clear" w:color="auto" w:fill="auto"/>
          </w:tcPr>
          <w:p w14:paraId="2367EDFD" w14:textId="5E510645" w:rsidR="003F502C" w:rsidRPr="001D52A0" w:rsidRDefault="00DE737D" w:rsidP="00747CD0">
            <w:pPr>
              <w:autoSpaceDE w:val="0"/>
              <w:autoSpaceDN w:val="0"/>
              <w:adjustRightInd w:val="0"/>
              <w:rPr>
                <w:rFonts w:asciiTheme="minorHAnsi" w:hAnsiTheme="minorHAnsi" w:cs="Arial"/>
                <w:sz w:val="22"/>
                <w:szCs w:val="22"/>
                <w:lang w:eastAsia="en-GB"/>
              </w:rPr>
            </w:pPr>
            <w:r w:rsidRPr="001D52A0">
              <w:rPr>
                <w:rFonts w:asciiTheme="minorHAnsi" w:hAnsiTheme="minorHAnsi" w:cs="Arial"/>
                <w:sz w:val="22"/>
                <w:szCs w:val="22"/>
                <w:lang w:eastAsia="en-GB"/>
              </w:rPr>
              <w:t>4.7</w:t>
            </w:r>
            <w:r w:rsidR="003F502C" w:rsidRPr="001D52A0">
              <w:rPr>
                <w:rFonts w:asciiTheme="minorHAnsi" w:hAnsiTheme="minorHAnsi" w:cs="Arial"/>
                <w:sz w:val="22"/>
                <w:szCs w:val="22"/>
                <w:lang w:eastAsia="en-GB"/>
              </w:rPr>
              <w:t>%</w:t>
            </w:r>
          </w:p>
        </w:tc>
      </w:tr>
      <w:tr w:rsidR="003F502C" w:rsidRPr="001D52A0" w14:paraId="744C80B6" w14:textId="77777777" w:rsidTr="00747CD0">
        <w:tc>
          <w:tcPr>
            <w:tcW w:w="2798" w:type="dxa"/>
            <w:shd w:val="clear" w:color="auto" w:fill="auto"/>
          </w:tcPr>
          <w:p w14:paraId="5A199D3B" w14:textId="77777777" w:rsidR="003F502C" w:rsidRPr="001D52A0" w:rsidRDefault="003F502C" w:rsidP="00747CD0">
            <w:pPr>
              <w:autoSpaceDE w:val="0"/>
              <w:autoSpaceDN w:val="0"/>
              <w:adjustRightInd w:val="0"/>
              <w:rPr>
                <w:rFonts w:asciiTheme="minorHAnsi" w:hAnsiTheme="minorHAnsi" w:cs="Arial"/>
                <w:sz w:val="22"/>
                <w:szCs w:val="22"/>
                <w:lang w:eastAsia="en-GB"/>
              </w:rPr>
            </w:pPr>
            <w:r w:rsidRPr="001D52A0">
              <w:rPr>
                <w:rFonts w:asciiTheme="minorHAnsi" w:hAnsiTheme="minorHAnsi" w:cs="Arial"/>
                <w:sz w:val="22"/>
                <w:szCs w:val="22"/>
                <w:lang w:eastAsia="en-GB"/>
              </w:rPr>
              <w:t>5%</w:t>
            </w:r>
          </w:p>
        </w:tc>
        <w:tc>
          <w:tcPr>
            <w:tcW w:w="2872" w:type="dxa"/>
            <w:shd w:val="clear" w:color="auto" w:fill="auto"/>
          </w:tcPr>
          <w:p w14:paraId="23B1BA80" w14:textId="405F9292" w:rsidR="003F502C" w:rsidRPr="001D52A0" w:rsidRDefault="00DE737D" w:rsidP="00747CD0">
            <w:pPr>
              <w:autoSpaceDE w:val="0"/>
              <w:autoSpaceDN w:val="0"/>
              <w:adjustRightInd w:val="0"/>
              <w:rPr>
                <w:rFonts w:asciiTheme="minorHAnsi" w:hAnsiTheme="minorHAnsi" w:cs="Arial"/>
                <w:sz w:val="22"/>
                <w:szCs w:val="22"/>
                <w:lang w:eastAsia="en-GB"/>
              </w:rPr>
            </w:pPr>
            <w:r w:rsidRPr="001D52A0">
              <w:rPr>
                <w:rFonts w:asciiTheme="minorHAnsi" w:hAnsiTheme="minorHAnsi" w:cs="Arial"/>
                <w:sz w:val="22"/>
                <w:szCs w:val="22"/>
                <w:lang w:eastAsia="en-GB"/>
              </w:rPr>
              <w:t>6</w:t>
            </w:r>
            <w:r w:rsidR="003F502C" w:rsidRPr="001D52A0">
              <w:rPr>
                <w:rFonts w:asciiTheme="minorHAnsi" w:hAnsiTheme="minorHAnsi" w:cs="Arial"/>
                <w:sz w:val="22"/>
                <w:szCs w:val="22"/>
                <w:lang w:eastAsia="en-GB"/>
              </w:rPr>
              <w:t>.9%</w:t>
            </w:r>
          </w:p>
        </w:tc>
      </w:tr>
    </w:tbl>
    <w:p w14:paraId="35F2B982" w14:textId="77777777" w:rsidR="003F502C" w:rsidRPr="001D52A0" w:rsidRDefault="003F502C" w:rsidP="003F502C">
      <w:pPr>
        <w:autoSpaceDE w:val="0"/>
        <w:autoSpaceDN w:val="0"/>
        <w:adjustRightInd w:val="0"/>
        <w:spacing w:before="240" w:after="120"/>
        <w:rPr>
          <w:rFonts w:asciiTheme="minorHAnsi" w:hAnsiTheme="minorHAnsi" w:cs="Arial"/>
          <w:sz w:val="22"/>
          <w:szCs w:val="22"/>
          <w:lang w:eastAsia="en-GB"/>
        </w:rPr>
      </w:pPr>
      <w:r w:rsidRPr="001D52A0">
        <w:rPr>
          <w:rFonts w:asciiTheme="minorHAnsi" w:hAnsiTheme="minorHAnsi" w:cs="Arial"/>
          <w:sz w:val="22"/>
          <w:szCs w:val="22"/>
          <w:lang w:eastAsia="en-GB"/>
        </w:rPr>
        <w:t>Similarly for residual contract inflation (RPIX).</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2872"/>
      </w:tblGrid>
      <w:tr w:rsidR="003F502C" w:rsidRPr="001D52A0" w14:paraId="28779888" w14:textId="77777777" w:rsidTr="00747CD0">
        <w:tc>
          <w:tcPr>
            <w:tcW w:w="2798" w:type="dxa"/>
            <w:shd w:val="clear" w:color="auto" w:fill="auto"/>
          </w:tcPr>
          <w:p w14:paraId="3BC37F94" w14:textId="77777777" w:rsidR="003F502C" w:rsidRPr="001D52A0" w:rsidRDefault="003F502C" w:rsidP="00747CD0">
            <w:pPr>
              <w:autoSpaceDE w:val="0"/>
              <w:autoSpaceDN w:val="0"/>
              <w:adjustRightInd w:val="0"/>
              <w:rPr>
                <w:rFonts w:asciiTheme="minorHAnsi" w:hAnsiTheme="minorHAnsi" w:cs="Arial"/>
                <w:sz w:val="22"/>
                <w:szCs w:val="22"/>
                <w:lang w:eastAsia="en-GB"/>
              </w:rPr>
            </w:pPr>
            <w:r w:rsidRPr="001D52A0">
              <w:rPr>
                <w:rFonts w:asciiTheme="minorHAnsi" w:hAnsiTheme="minorHAnsi" w:cs="Arial"/>
                <w:sz w:val="22"/>
                <w:szCs w:val="22"/>
                <w:lang w:eastAsia="en-GB"/>
              </w:rPr>
              <w:t>Residual contract inflation RPIX</w:t>
            </w:r>
          </w:p>
        </w:tc>
        <w:tc>
          <w:tcPr>
            <w:tcW w:w="2872" w:type="dxa"/>
            <w:shd w:val="clear" w:color="auto" w:fill="auto"/>
          </w:tcPr>
          <w:p w14:paraId="560211F4" w14:textId="77777777" w:rsidR="003F502C" w:rsidRPr="001D52A0" w:rsidRDefault="003F502C" w:rsidP="00747CD0">
            <w:pPr>
              <w:autoSpaceDE w:val="0"/>
              <w:autoSpaceDN w:val="0"/>
              <w:adjustRightInd w:val="0"/>
              <w:rPr>
                <w:rFonts w:asciiTheme="minorHAnsi" w:hAnsiTheme="minorHAnsi" w:cs="Arial"/>
                <w:sz w:val="22"/>
                <w:szCs w:val="22"/>
                <w:lang w:eastAsia="en-GB"/>
              </w:rPr>
            </w:pPr>
            <w:r w:rsidRPr="001D52A0">
              <w:rPr>
                <w:rFonts w:asciiTheme="minorHAnsi" w:hAnsiTheme="minorHAnsi" w:cs="Arial"/>
                <w:sz w:val="22"/>
                <w:szCs w:val="22"/>
                <w:lang w:eastAsia="en-GB"/>
              </w:rPr>
              <w:t xml:space="preserve">Average rise in costs / levies over 5 years </w:t>
            </w:r>
          </w:p>
        </w:tc>
      </w:tr>
      <w:tr w:rsidR="003F502C" w:rsidRPr="001D52A0" w14:paraId="5B68ABD7" w14:textId="77777777" w:rsidTr="00747CD0">
        <w:tc>
          <w:tcPr>
            <w:tcW w:w="2798" w:type="dxa"/>
            <w:shd w:val="clear" w:color="auto" w:fill="auto"/>
          </w:tcPr>
          <w:p w14:paraId="0F23598C" w14:textId="77777777" w:rsidR="003F502C" w:rsidRPr="001D52A0" w:rsidRDefault="003F502C" w:rsidP="00747CD0">
            <w:pPr>
              <w:autoSpaceDE w:val="0"/>
              <w:autoSpaceDN w:val="0"/>
              <w:adjustRightInd w:val="0"/>
              <w:rPr>
                <w:rFonts w:asciiTheme="minorHAnsi" w:hAnsiTheme="minorHAnsi" w:cs="Arial"/>
                <w:sz w:val="22"/>
                <w:szCs w:val="22"/>
                <w:lang w:eastAsia="en-GB"/>
              </w:rPr>
            </w:pPr>
            <w:r w:rsidRPr="001D52A0">
              <w:rPr>
                <w:rFonts w:asciiTheme="minorHAnsi" w:hAnsiTheme="minorHAnsi" w:cs="Arial"/>
                <w:sz w:val="22"/>
                <w:szCs w:val="22"/>
                <w:lang w:eastAsia="en-GB"/>
              </w:rPr>
              <w:t>1%</w:t>
            </w:r>
          </w:p>
        </w:tc>
        <w:tc>
          <w:tcPr>
            <w:tcW w:w="2872" w:type="dxa"/>
            <w:shd w:val="clear" w:color="auto" w:fill="auto"/>
          </w:tcPr>
          <w:p w14:paraId="5A2F15EB" w14:textId="3E656781" w:rsidR="003F502C" w:rsidRPr="001D52A0" w:rsidRDefault="0068480B" w:rsidP="00747CD0">
            <w:pPr>
              <w:autoSpaceDE w:val="0"/>
              <w:autoSpaceDN w:val="0"/>
              <w:adjustRightInd w:val="0"/>
              <w:rPr>
                <w:rFonts w:asciiTheme="minorHAnsi" w:hAnsiTheme="minorHAnsi" w:cs="Arial"/>
                <w:sz w:val="22"/>
                <w:szCs w:val="22"/>
                <w:lang w:eastAsia="en-GB"/>
              </w:rPr>
            </w:pPr>
            <w:r w:rsidRPr="001D52A0">
              <w:rPr>
                <w:rFonts w:asciiTheme="minorHAnsi" w:hAnsiTheme="minorHAnsi" w:cs="Arial"/>
                <w:sz w:val="22"/>
                <w:szCs w:val="22"/>
                <w:lang w:eastAsia="en-GB"/>
              </w:rPr>
              <w:t>1.8</w:t>
            </w:r>
            <w:r w:rsidR="003F502C" w:rsidRPr="001D52A0">
              <w:rPr>
                <w:rFonts w:asciiTheme="minorHAnsi" w:hAnsiTheme="minorHAnsi" w:cs="Arial"/>
                <w:sz w:val="22"/>
                <w:szCs w:val="22"/>
                <w:lang w:eastAsia="en-GB"/>
              </w:rPr>
              <w:t>%</w:t>
            </w:r>
          </w:p>
        </w:tc>
      </w:tr>
      <w:tr w:rsidR="003F502C" w:rsidRPr="001D52A0" w14:paraId="3C9E456C" w14:textId="77777777" w:rsidTr="00747CD0">
        <w:tc>
          <w:tcPr>
            <w:tcW w:w="2798" w:type="dxa"/>
            <w:shd w:val="clear" w:color="auto" w:fill="auto"/>
          </w:tcPr>
          <w:p w14:paraId="59953E48" w14:textId="77777777" w:rsidR="003F502C" w:rsidRPr="001D52A0" w:rsidRDefault="003F502C" w:rsidP="00747CD0">
            <w:pPr>
              <w:autoSpaceDE w:val="0"/>
              <w:autoSpaceDN w:val="0"/>
              <w:adjustRightInd w:val="0"/>
              <w:rPr>
                <w:rFonts w:asciiTheme="minorHAnsi" w:hAnsiTheme="minorHAnsi" w:cs="Arial"/>
                <w:sz w:val="22"/>
                <w:szCs w:val="22"/>
                <w:lang w:eastAsia="en-GB"/>
              </w:rPr>
            </w:pPr>
            <w:r w:rsidRPr="001D52A0">
              <w:rPr>
                <w:rFonts w:asciiTheme="minorHAnsi" w:hAnsiTheme="minorHAnsi" w:cs="Arial"/>
                <w:sz w:val="22"/>
                <w:szCs w:val="22"/>
                <w:lang w:eastAsia="en-GB"/>
              </w:rPr>
              <w:t xml:space="preserve">2% </w:t>
            </w:r>
          </w:p>
        </w:tc>
        <w:tc>
          <w:tcPr>
            <w:tcW w:w="2872" w:type="dxa"/>
            <w:shd w:val="clear" w:color="auto" w:fill="auto"/>
          </w:tcPr>
          <w:p w14:paraId="4D832E91" w14:textId="74A7B9F0" w:rsidR="003F502C" w:rsidRPr="001D52A0" w:rsidRDefault="0068480B" w:rsidP="00747CD0">
            <w:pPr>
              <w:autoSpaceDE w:val="0"/>
              <w:autoSpaceDN w:val="0"/>
              <w:adjustRightInd w:val="0"/>
              <w:rPr>
                <w:rFonts w:asciiTheme="minorHAnsi" w:hAnsiTheme="minorHAnsi" w:cs="Arial"/>
                <w:sz w:val="22"/>
                <w:szCs w:val="22"/>
                <w:lang w:eastAsia="en-GB"/>
              </w:rPr>
            </w:pPr>
            <w:r w:rsidRPr="001D52A0">
              <w:rPr>
                <w:rFonts w:asciiTheme="minorHAnsi" w:hAnsiTheme="minorHAnsi" w:cs="Arial"/>
                <w:sz w:val="22"/>
                <w:szCs w:val="22"/>
                <w:lang w:eastAsia="en-GB"/>
              </w:rPr>
              <w:t>1.9</w:t>
            </w:r>
            <w:r w:rsidR="003F502C" w:rsidRPr="001D52A0">
              <w:rPr>
                <w:rFonts w:asciiTheme="minorHAnsi" w:hAnsiTheme="minorHAnsi" w:cs="Arial"/>
                <w:sz w:val="22"/>
                <w:szCs w:val="22"/>
                <w:lang w:eastAsia="en-GB"/>
              </w:rPr>
              <w:t>%</w:t>
            </w:r>
          </w:p>
        </w:tc>
      </w:tr>
      <w:tr w:rsidR="003F502C" w:rsidRPr="001D52A0" w14:paraId="6A028263" w14:textId="77777777" w:rsidTr="00747CD0">
        <w:tc>
          <w:tcPr>
            <w:tcW w:w="2798" w:type="dxa"/>
            <w:shd w:val="clear" w:color="auto" w:fill="auto"/>
          </w:tcPr>
          <w:p w14:paraId="1EDA046C" w14:textId="77777777" w:rsidR="003F502C" w:rsidRPr="001D52A0" w:rsidRDefault="003F502C" w:rsidP="00747CD0">
            <w:pPr>
              <w:autoSpaceDE w:val="0"/>
              <w:autoSpaceDN w:val="0"/>
              <w:adjustRightInd w:val="0"/>
              <w:rPr>
                <w:rFonts w:asciiTheme="minorHAnsi" w:hAnsiTheme="minorHAnsi" w:cs="Arial"/>
                <w:sz w:val="22"/>
                <w:szCs w:val="22"/>
                <w:lang w:eastAsia="en-GB"/>
              </w:rPr>
            </w:pPr>
            <w:r w:rsidRPr="001D52A0">
              <w:rPr>
                <w:rFonts w:asciiTheme="minorHAnsi" w:hAnsiTheme="minorHAnsi" w:cs="Arial"/>
                <w:sz w:val="22"/>
                <w:szCs w:val="22"/>
                <w:lang w:eastAsia="en-GB"/>
              </w:rPr>
              <w:t>3% base</w:t>
            </w:r>
          </w:p>
        </w:tc>
        <w:tc>
          <w:tcPr>
            <w:tcW w:w="2872" w:type="dxa"/>
            <w:shd w:val="clear" w:color="auto" w:fill="auto"/>
          </w:tcPr>
          <w:p w14:paraId="2CE861F3" w14:textId="5B7DC971" w:rsidR="003F502C" w:rsidRPr="001D52A0" w:rsidRDefault="0068480B" w:rsidP="00747CD0">
            <w:pPr>
              <w:autoSpaceDE w:val="0"/>
              <w:autoSpaceDN w:val="0"/>
              <w:adjustRightInd w:val="0"/>
              <w:rPr>
                <w:rFonts w:asciiTheme="minorHAnsi" w:hAnsiTheme="minorHAnsi" w:cs="Arial"/>
                <w:sz w:val="22"/>
                <w:szCs w:val="22"/>
                <w:lang w:eastAsia="en-GB"/>
              </w:rPr>
            </w:pPr>
            <w:r w:rsidRPr="001D52A0">
              <w:rPr>
                <w:rFonts w:asciiTheme="minorHAnsi" w:hAnsiTheme="minorHAnsi" w:cs="Arial"/>
                <w:sz w:val="22"/>
                <w:szCs w:val="22"/>
                <w:lang w:eastAsia="en-GB"/>
              </w:rPr>
              <w:t>2.1</w:t>
            </w:r>
            <w:r w:rsidR="003F502C" w:rsidRPr="001D52A0">
              <w:rPr>
                <w:rFonts w:asciiTheme="minorHAnsi" w:hAnsiTheme="minorHAnsi" w:cs="Arial"/>
                <w:sz w:val="22"/>
                <w:szCs w:val="22"/>
                <w:lang w:eastAsia="en-GB"/>
              </w:rPr>
              <w:t>%</w:t>
            </w:r>
          </w:p>
        </w:tc>
      </w:tr>
      <w:tr w:rsidR="003F502C" w:rsidRPr="001D52A0" w14:paraId="68E484C8" w14:textId="77777777" w:rsidTr="00747CD0">
        <w:tc>
          <w:tcPr>
            <w:tcW w:w="2798" w:type="dxa"/>
            <w:shd w:val="clear" w:color="auto" w:fill="auto"/>
          </w:tcPr>
          <w:p w14:paraId="7D510B5E" w14:textId="77777777" w:rsidR="003F502C" w:rsidRPr="001D52A0" w:rsidRDefault="003F502C" w:rsidP="00747CD0">
            <w:pPr>
              <w:autoSpaceDE w:val="0"/>
              <w:autoSpaceDN w:val="0"/>
              <w:adjustRightInd w:val="0"/>
              <w:rPr>
                <w:rFonts w:asciiTheme="minorHAnsi" w:hAnsiTheme="minorHAnsi" w:cs="Arial"/>
                <w:sz w:val="22"/>
                <w:szCs w:val="22"/>
                <w:lang w:eastAsia="en-GB"/>
              </w:rPr>
            </w:pPr>
            <w:r w:rsidRPr="001D52A0">
              <w:rPr>
                <w:rFonts w:asciiTheme="minorHAnsi" w:hAnsiTheme="minorHAnsi" w:cs="Arial"/>
                <w:sz w:val="22"/>
                <w:szCs w:val="22"/>
                <w:lang w:eastAsia="en-GB"/>
              </w:rPr>
              <w:t>4%</w:t>
            </w:r>
          </w:p>
        </w:tc>
        <w:tc>
          <w:tcPr>
            <w:tcW w:w="2872" w:type="dxa"/>
            <w:shd w:val="clear" w:color="auto" w:fill="auto"/>
          </w:tcPr>
          <w:p w14:paraId="292E1B92" w14:textId="69E8DB79" w:rsidR="003F502C" w:rsidRPr="001D52A0" w:rsidRDefault="0068480B" w:rsidP="00747CD0">
            <w:pPr>
              <w:autoSpaceDE w:val="0"/>
              <w:autoSpaceDN w:val="0"/>
              <w:adjustRightInd w:val="0"/>
              <w:rPr>
                <w:rFonts w:asciiTheme="minorHAnsi" w:hAnsiTheme="minorHAnsi" w:cs="Arial"/>
                <w:sz w:val="22"/>
                <w:szCs w:val="22"/>
                <w:lang w:eastAsia="en-GB"/>
              </w:rPr>
            </w:pPr>
            <w:r w:rsidRPr="001D52A0">
              <w:rPr>
                <w:rFonts w:asciiTheme="minorHAnsi" w:hAnsiTheme="minorHAnsi" w:cs="Arial"/>
                <w:sz w:val="22"/>
                <w:szCs w:val="22"/>
                <w:lang w:eastAsia="en-GB"/>
              </w:rPr>
              <w:t>2.2</w:t>
            </w:r>
            <w:r w:rsidR="003F502C" w:rsidRPr="001D52A0">
              <w:rPr>
                <w:rFonts w:asciiTheme="minorHAnsi" w:hAnsiTheme="minorHAnsi" w:cs="Arial"/>
                <w:sz w:val="22"/>
                <w:szCs w:val="22"/>
                <w:lang w:eastAsia="en-GB"/>
              </w:rPr>
              <w:t>%</w:t>
            </w:r>
          </w:p>
        </w:tc>
      </w:tr>
      <w:tr w:rsidR="003F502C" w:rsidRPr="001D52A0" w14:paraId="3E896735" w14:textId="77777777" w:rsidTr="00747CD0">
        <w:tc>
          <w:tcPr>
            <w:tcW w:w="2798" w:type="dxa"/>
            <w:shd w:val="clear" w:color="auto" w:fill="auto"/>
          </w:tcPr>
          <w:p w14:paraId="21C6D735" w14:textId="77777777" w:rsidR="003F502C" w:rsidRPr="001D52A0" w:rsidRDefault="003F502C" w:rsidP="00747CD0">
            <w:pPr>
              <w:autoSpaceDE w:val="0"/>
              <w:autoSpaceDN w:val="0"/>
              <w:adjustRightInd w:val="0"/>
              <w:rPr>
                <w:rFonts w:asciiTheme="minorHAnsi" w:hAnsiTheme="minorHAnsi" w:cs="Arial"/>
                <w:sz w:val="22"/>
                <w:szCs w:val="22"/>
                <w:lang w:eastAsia="en-GB"/>
              </w:rPr>
            </w:pPr>
            <w:r w:rsidRPr="001D52A0">
              <w:rPr>
                <w:rFonts w:asciiTheme="minorHAnsi" w:hAnsiTheme="minorHAnsi" w:cs="Arial"/>
                <w:sz w:val="22"/>
                <w:szCs w:val="22"/>
                <w:lang w:eastAsia="en-GB"/>
              </w:rPr>
              <w:t>5%</w:t>
            </w:r>
          </w:p>
        </w:tc>
        <w:tc>
          <w:tcPr>
            <w:tcW w:w="2872" w:type="dxa"/>
            <w:shd w:val="clear" w:color="auto" w:fill="auto"/>
          </w:tcPr>
          <w:p w14:paraId="643ACAF8" w14:textId="3659DAE4" w:rsidR="003F502C" w:rsidRPr="001D52A0" w:rsidRDefault="0068480B" w:rsidP="00747CD0">
            <w:pPr>
              <w:autoSpaceDE w:val="0"/>
              <w:autoSpaceDN w:val="0"/>
              <w:adjustRightInd w:val="0"/>
              <w:rPr>
                <w:rFonts w:asciiTheme="minorHAnsi" w:hAnsiTheme="minorHAnsi" w:cs="Arial"/>
                <w:sz w:val="22"/>
                <w:szCs w:val="22"/>
                <w:lang w:eastAsia="en-GB"/>
              </w:rPr>
            </w:pPr>
            <w:r w:rsidRPr="001D52A0">
              <w:rPr>
                <w:rFonts w:asciiTheme="minorHAnsi" w:hAnsiTheme="minorHAnsi" w:cs="Arial"/>
                <w:sz w:val="22"/>
                <w:szCs w:val="22"/>
                <w:lang w:eastAsia="en-GB"/>
              </w:rPr>
              <w:t>2.3</w:t>
            </w:r>
            <w:r w:rsidR="003F502C" w:rsidRPr="001D52A0">
              <w:rPr>
                <w:rFonts w:asciiTheme="minorHAnsi" w:hAnsiTheme="minorHAnsi" w:cs="Arial"/>
                <w:sz w:val="22"/>
                <w:szCs w:val="22"/>
                <w:lang w:eastAsia="en-GB"/>
              </w:rPr>
              <w:t>%</w:t>
            </w:r>
          </w:p>
        </w:tc>
      </w:tr>
      <w:tr w:rsidR="003F502C" w:rsidRPr="001D52A0" w14:paraId="568D44B7" w14:textId="77777777" w:rsidTr="00747CD0">
        <w:tc>
          <w:tcPr>
            <w:tcW w:w="2798" w:type="dxa"/>
            <w:shd w:val="clear" w:color="auto" w:fill="auto"/>
          </w:tcPr>
          <w:p w14:paraId="3849314C" w14:textId="77777777" w:rsidR="003F502C" w:rsidRPr="001D52A0" w:rsidRDefault="003F502C" w:rsidP="00747CD0">
            <w:pPr>
              <w:autoSpaceDE w:val="0"/>
              <w:autoSpaceDN w:val="0"/>
              <w:adjustRightInd w:val="0"/>
              <w:rPr>
                <w:rFonts w:asciiTheme="minorHAnsi" w:hAnsiTheme="minorHAnsi" w:cs="Arial"/>
                <w:sz w:val="22"/>
                <w:szCs w:val="22"/>
                <w:lang w:eastAsia="en-GB"/>
              </w:rPr>
            </w:pPr>
            <w:r w:rsidRPr="001D52A0">
              <w:rPr>
                <w:rFonts w:asciiTheme="minorHAnsi" w:hAnsiTheme="minorHAnsi" w:cs="Arial"/>
                <w:sz w:val="22"/>
                <w:szCs w:val="22"/>
                <w:lang w:eastAsia="en-GB"/>
              </w:rPr>
              <w:t>6%</w:t>
            </w:r>
          </w:p>
        </w:tc>
        <w:tc>
          <w:tcPr>
            <w:tcW w:w="2872" w:type="dxa"/>
            <w:shd w:val="clear" w:color="auto" w:fill="auto"/>
          </w:tcPr>
          <w:p w14:paraId="6AF510AA" w14:textId="302EDC0A" w:rsidR="003F502C" w:rsidRPr="001D52A0" w:rsidRDefault="0068480B" w:rsidP="00747CD0">
            <w:pPr>
              <w:autoSpaceDE w:val="0"/>
              <w:autoSpaceDN w:val="0"/>
              <w:adjustRightInd w:val="0"/>
              <w:rPr>
                <w:rFonts w:asciiTheme="minorHAnsi" w:hAnsiTheme="minorHAnsi" w:cs="Arial"/>
                <w:sz w:val="22"/>
                <w:szCs w:val="22"/>
                <w:lang w:eastAsia="en-GB"/>
              </w:rPr>
            </w:pPr>
            <w:r w:rsidRPr="001D52A0">
              <w:rPr>
                <w:rFonts w:asciiTheme="minorHAnsi" w:hAnsiTheme="minorHAnsi" w:cs="Arial"/>
                <w:sz w:val="22"/>
                <w:szCs w:val="22"/>
                <w:lang w:eastAsia="en-GB"/>
              </w:rPr>
              <w:t>2.5</w:t>
            </w:r>
            <w:r w:rsidR="003F502C" w:rsidRPr="001D52A0">
              <w:rPr>
                <w:rFonts w:asciiTheme="minorHAnsi" w:hAnsiTheme="minorHAnsi" w:cs="Arial"/>
                <w:sz w:val="22"/>
                <w:szCs w:val="22"/>
                <w:lang w:eastAsia="en-GB"/>
              </w:rPr>
              <w:t>%</w:t>
            </w:r>
          </w:p>
        </w:tc>
      </w:tr>
    </w:tbl>
    <w:p w14:paraId="74DF8BED" w14:textId="3DC34824" w:rsidR="003F502C" w:rsidRPr="001D52A0" w:rsidRDefault="003F502C" w:rsidP="00977D08">
      <w:pPr>
        <w:autoSpaceDE w:val="0"/>
        <w:autoSpaceDN w:val="0"/>
        <w:adjustRightInd w:val="0"/>
        <w:spacing w:before="240" w:after="120"/>
        <w:rPr>
          <w:rFonts w:asciiTheme="minorHAnsi" w:hAnsiTheme="minorHAnsi" w:cs="Arial"/>
          <w:sz w:val="22"/>
          <w:szCs w:val="22"/>
          <w:lang w:eastAsia="en-GB"/>
        </w:rPr>
      </w:pPr>
    </w:p>
    <w:sectPr w:rsidR="003F502C" w:rsidRPr="001D52A0" w:rsidSect="00E17D0E">
      <w:footerReference w:type="default" r:id="rId15"/>
      <w:pgSz w:w="11906" w:h="16838"/>
      <w:pgMar w:top="567" w:right="851" w:bottom="851" w:left="851" w:header="227" w:footer="7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9858C" w14:textId="77777777" w:rsidR="00857806" w:rsidRDefault="00857806">
      <w:r>
        <w:separator/>
      </w:r>
    </w:p>
  </w:endnote>
  <w:endnote w:type="continuationSeparator" w:id="0">
    <w:p w14:paraId="3F3352DB" w14:textId="77777777" w:rsidR="00857806" w:rsidRDefault="00857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oundry Form Sans">
    <w:altName w:val="Bell MT"/>
    <w:charset w:val="00"/>
    <w:family w:val="auto"/>
    <w:pitch w:val="variable"/>
    <w:sig w:usb0="800000A7" w:usb1="00000040" w:usb2="00000000" w:usb3="00000000" w:csb0="00000001" w:csb1="00000000"/>
  </w:font>
  <w:font w:name="Officina Sans ITC T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56BE" w14:textId="77777777" w:rsidR="00857806" w:rsidRDefault="00857806" w:rsidP="00B20E11">
    <w:pPr>
      <w:spacing w:line="-240" w:lineRule="auto"/>
      <w:ind w:left="4820" w:hanging="4836"/>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F5D51" w14:textId="77777777" w:rsidR="00857806" w:rsidRDefault="00857806">
      <w:r>
        <w:separator/>
      </w:r>
    </w:p>
  </w:footnote>
  <w:footnote w:type="continuationSeparator" w:id="0">
    <w:p w14:paraId="7A6769A6" w14:textId="77777777" w:rsidR="00857806" w:rsidRDefault="00857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EA425B2"/>
    <w:lvl w:ilvl="0">
      <w:start w:val="1"/>
      <w:numFmt w:val="decimal"/>
      <w:pStyle w:val="ListNumber"/>
      <w:lvlText w:val="%1."/>
      <w:lvlJc w:val="left"/>
      <w:pPr>
        <w:tabs>
          <w:tab w:val="num" w:pos="360"/>
        </w:tabs>
        <w:ind w:left="360" w:hanging="360"/>
      </w:pPr>
    </w:lvl>
  </w:abstractNum>
  <w:abstractNum w:abstractNumId="1" w15:restartNumberingAfterBreak="0">
    <w:nsid w:val="0505407D"/>
    <w:multiLevelType w:val="multilevel"/>
    <w:tmpl w:val="9502164A"/>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C86A47"/>
    <w:multiLevelType w:val="multilevel"/>
    <w:tmpl w:val="C4A8FDB2"/>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3242B6"/>
    <w:multiLevelType w:val="hybridMultilevel"/>
    <w:tmpl w:val="1186A5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3DD43EA"/>
    <w:multiLevelType w:val="multilevel"/>
    <w:tmpl w:val="EC30B39E"/>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16085423"/>
    <w:multiLevelType w:val="multilevel"/>
    <w:tmpl w:val="9814DA16"/>
    <w:lvl w:ilvl="0">
      <w:start w:val="1"/>
      <w:numFmt w:val="decimal"/>
      <w:lvlText w:val="%1"/>
      <w:lvlJc w:val="left"/>
      <w:pPr>
        <w:ind w:left="720" w:hanging="360"/>
      </w:pPr>
      <w:rPr>
        <w:rFonts w:eastAsia="Calibri" w:cs="Arial" w:hint="default"/>
        <w:sz w:val="22"/>
      </w:rPr>
    </w:lvl>
    <w:lvl w:ilvl="1">
      <w:start w:val="1"/>
      <w:numFmt w:val="decimal"/>
      <w:lvlText w:val="%1.%2"/>
      <w:lvlJc w:val="left"/>
      <w:pPr>
        <w:ind w:left="720" w:hanging="360"/>
      </w:pPr>
      <w:rPr>
        <w:rFonts w:eastAsia="Calibri" w:cs="Arial" w:hint="default"/>
        <w:sz w:val="22"/>
      </w:rPr>
    </w:lvl>
    <w:lvl w:ilvl="2">
      <w:start w:val="1"/>
      <w:numFmt w:val="decimal"/>
      <w:lvlText w:val="%1.%2.%3"/>
      <w:lvlJc w:val="left"/>
      <w:pPr>
        <w:ind w:left="1080" w:hanging="720"/>
      </w:pPr>
      <w:rPr>
        <w:rFonts w:eastAsia="Calibri" w:cs="Arial" w:hint="default"/>
        <w:sz w:val="22"/>
      </w:rPr>
    </w:lvl>
    <w:lvl w:ilvl="3">
      <w:start w:val="1"/>
      <w:numFmt w:val="decimal"/>
      <w:lvlText w:val="%1.%2.%3.%4"/>
      <w:lvlJc w:val="left"/>
      <w:pPr>
        <w:ind w:left="1080" w:hanging="720"/>
      </w:pPr>
      <w:rPr>
        <w:rFonts w:eastAsia="Calibri" w:cs="Arial" w:hint="default"/>
        <w:sz w:val="22"/>
      </w:rPr>
    </w:lvl>
    <w:lvl w:ilvl="4">
      <w:start w:val="1"/>
      <w:numFmt w:val="decimal"/>
      <w:lvlText w:val="%1.%2.%3.%4.%5"/>
      <w:lvlJc w:val="left"/>
      <w:pPr>
        <w:ind w:left="1440" w:hanging="1080"/>
      </w:pPr>
      <w:rPr>
        <w:rFonts w:eastAsia="Calibri" w:cs="Arial" w:hint="default"/>
        <w:sz w:val="22"/>
      </w:rPr>
    </w:lvl>
    <w:lvl w:ilvl="5">
      <w:start w:val="1"/>
      <w:numFmt w:val="decimal"/>
      <w:lvlText w:val="%1.%2.%3.%4.%5.%6"/>
      <w:lvlJc w:val="left"/>
      <w:pPr>
        <w:ind w:left="1440" w:hanging="1080"/>
      </w:pPr>
      <w:rPr>
        <w:rFonts w:eastAsia="Calibri" w:cs="Arial" w:hint="default"/>
        <w:sz w:val="22"/>
      </w:rPr>
    </w:lvl>
    <w:lvl w:ilvl="6">
      <w:start w:val="1"/>
      <w:numFmt w:val="decimal"/>
      <w:lvlText w:val="%1.%2.%3.%4.%5.%6.%7"/>
      <w:lvlJc w:val="left"/>
      <w:pPr>
        <w:ind w:left="1800" w:hanging="1440"/>
      </w:pPr>
      <w:rPr>
        <w:rFonts w:eastAsia="Calibri" w:cs="Arial" w:hint="default"/>
        <w:sz w:val="22"/>
      </w:rPr>
    </w:lvl>
    <w:lvl w:ilvl="7">
      <w:start w:val="1"/>
      <w:numFmt w:val="decimal"/>
      <w:lvlText w:val="%1.%2.%3.%4.%5.%6.%7.%8"/>
      <w:lvlJc w:val="left"/>
      <w:pPr>
        <w:ind w:left="1800" w:hanging="1440"/>
      </w:pPr>
      <w:rPr>
        <w:rFonts w:eastAsia="Calibri" w:cs="Arial" w:hint="default"/>
        <w:sz w:val="22"/>
      </w:rPr>
    </w:lvl>
    <w:lvl w:ilvl="8">
      <w:start w:val="1"/>
      <w:numFmt w:val="decimal"/>
      <w:lvlText w:val="%1.%2.%3.%4.%5.%6.%7.%8.%9"/>
      <w:lvlJc w:val="left"/>
      <w:pPr>
        <w:ind w:left="2160" w:hanging="1800"/>
      </w:pPr>
      <w:rPr>
        <w:rFonts w:eastAsia="Calibri" w:cs="Arial" w:hint="default"/>
        <w:sz w:val="22"/>
      </w:rPr>
    </w:lvl>
  </w:abstractNum>
  <w:abstractNum w:abstractNumId="6" w15:restartNumberingAfterBreak="0">
    <w:nsid w:val="17CA5C3B"/>
    <w:multiLevelType w:val="multilevel"/>
    <w:tmpl w:val="080874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7E4B6C"/>
    <w:multiLevelType w:val="multilevel"/>
    <w:tmpl w:val="5DC491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3C1B5A"/>
    <w:multiLevelType w:val="multilevel"/>
    <w:tmpl w:val="F95016E4"/>
    <w:lvl w:ilvl="0">
      <w:start w:val="12"/>
      <w:numFmt w:val="decimal"/>
      <w:lvlText w:val="%1."/>
      <w:lvlJc w:val="left"/>
      <w:pPr>
        <w:tabs>
          <w:tab w:val="num" w:pos="360"/>
        </w:tabs>
        <w:ind w:left="170" w:hanging="170"/>
      </w:pPr>
      <w:rPr>
        <w:rFonts w:asciiTheme="minorHAnsi" w:hAnsiTheme="minorHAnsi" w:cs="Arial" w:hint="default"/>
        <w:b/>
        <w:i w:val="0"/>
        <w:sz w:val="24"/>
      </w:rPr>
    </w:lvl>
    <w:lvl w:ilvl="1">
      <w:start w:val="8"/>
      <w:numFmt w:val="decimal"/>
      <w:lvlText w:val="%1.%2."/>
      <w:lvlJc w:val="left"/>
      <w:pPr>
        <w:tabs>
          <w:tab w:val="num" w:pos="502"/>
        </w:tabs>
        <w:ind w:left="312" w:hanging="170"/>
      </w:pPr>
      <w:rPr>
        <w:rFonts w:asciiTheme="minorHAnsi" w:hAnsiTheme="minorHAnsi" w:cs="Arial" w:hint="default"/>
        <w:b w:val="0"/>
        <w:i w:val="0"/>
        <w:sz w:val="22"/>
        <w:szCs w:val="22"/>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1BA40AD2"/>
    <w:multiLevelType w:val="multilevel"/>
    <w:tmpl w:val="8DE4E75E"/>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43360C"/>
    <w:multiLevelType w:val="multilevel"/>
    <w:tmpl w:val="080874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465AD7"/>
    <w:multiLevelType w:val="hybridMultilevel"/>
    <w:tmpl w:val="5360DE10"/>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12" w15:restartNumberingAfterBreak="0">
    <w:nsid w:val="2F940417"/>
    <w:multiLevelType w:val="hybridMultilevel"/>
    <w:tmpl w:val="418E4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DE42A8"/>
    <w:multiLevelType w:val="multilevel"/>
    <w:tmpl w:val="4A529DDA"/>
    <w:lvl w:ilvl="0">
      <w:start w:val="12"/>
      <w:numFmt w:val="decimal"/>
      <w:lvlText w:val="%1."/>
      <w:lvlJc w:val="left"/>
      <w:pPr>
        <w:tabs>
          <w:tab w:val="num" w:pos="360"/>
        </w:tabs>
        <w:ind w:left="170" w:hanging="170"/>
      </w:pPr>
      <w:rPr>
        <w:rFonts w:asciiTheme="minorHAnsi" w:hAnsiTheme="minorHAnsi" w:cs="Arial" w:hint="default"/>
        <w:b/>
        <w:i w:val="0"/>
        <w:sz w:val="24"/>
      </w:rPr>
    </w:lvl>
    <w:lvl w:ilvl="1">
      <w:start w:val="8"/>
      <w:numFmt w:val="decimal"/>
      <w:lvlText w:val="%1.%2."/>
      <w:lvlJc w:val="left"/>
      <w:pPr>
        <w:tabs>
          <w:tab w:val="num" w:pos="502"/>
        </w:tabs>
        <w:ind w:left="312" w:hanging="170"/>
      </w:pPr>
      <w:rPr>
        <w:rFonts w:ascii="Arial" w:hAnsi="Arial" w:cs="Arial" w:hint="default"/>
        <w:b w:val="0"/>
        <w:i w:val="0"/>
        <w:sz w:val="20"/>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35BE0956"/>
    <w:multiLevelType w:val="multilevel"/>
    <w:tmpl w:val="0D5CE7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DB572D"/>
    <w:multiLevelType w:val="multilevel"/>
    <w:tmpl w:val="95683EE0"/>
    <w:lvl w:ilvl="0">
      <w:start w:val="2"/>
      <w:numFmt w:val="decimal"/>
      <w:lvlText w:val="%1"/>
      <w:lvlJc w:val="left"/>
      <w:pPr>
        <w:ind w:left="360" w:hanging="360"/>
      </w:pPr>
      <w:rPr>
        <w:rFonts w:eastAsia="Calibri" w:cs="Arial" w:hint="default"/>
        <w:sz w:val="22"/>
      </w:rPr>
    </w:lvl>
    <w:lvl w:ilvl="1">
      <w:start w:val="5"/>
      <w:numFmt w:val="decimal"/>
      <w:lvlText w:val="%1.%2"/>
      <w:lvlJc w:val="left"/>
      <w:pPr>
        <w:ind w:left="360" w:hanging="360"/>
      </w:pPr>
      <w:rPr>
        <w:rFonts w:eastAsia="Calibri" w:cs="Arial" w:hint="default"/>
        <w:sz w:val="22"/>
      </w:rPr>
    </w:lvl>
    <w:lvl w:ilvl="2">
      <w:start w:val="1"/>
      <w:numFmt w:val="decimal"/>
      <w:lvlText w:val="%1.%2.%3"/>
      <w:lvlJc w:val="left"/>
      <w:pPr>
        <w:ind w:left="720" w:hanging="720"/>
      </w:pPr>
      <w:rPr>
        <w:rFonts w:eastAsia="Calibri" w:cs="Arial" w:hint="default"/>
        <w:sz w:val="22"/>
      </w:rPr>
    </w:lvl>
    <w:lvl w:ilvl="3">
      <w:start w:val="1"/>
      <w:numFmt w:val="decimal"/>
      <w:lvlText w:val="%1.%2.%3.%4"/>
      <w:lvlJc w:val="left"/>
      <w:pPr>
        <w:ind w:left="720" w:hanging="720"/>
      </w:pPr>
      <w:rPr>
        <w:rFonts w:eastAsia="Calibri" w:cs="Arial" w:hint="default"/>
        <w:sz w:val="22"/>
      </w:rPr>
    </w:lvl>
    <w:lvl w:ilvl="4">
      <w:start w:val="1"/>
      <w:numFmt w:val="decimal"/>
      <w:lvlText w:val="%1.%2.%3.%4.%5"/>
      <w:lvlJc w:val="left"/>
      <w:pPr>
        <w:ind w:left="1080" w:hanging="1080"/>
      </w:pPr>
      <w:rPr>
        <w:rFonts w:eastAsia="Calibri" w:cs="Arial" w:hint="default"/>
        <w:sz w:val="22"/>
      </w:rPr>
    </w:lvl>
    <w:lvl w:ilvl="5">
      <w:start w:val="1"/>
      <w:numFmt w:val="decimal"/>
      <w:lvlText w:val="%1.%2.%3.%4.%5.%6"/>
      <w:lvlJc w:val="left"/>
      <w:pPr>
        <w:ind w:left="1080" w:hanging="1080"/>
      </w:pPr>
      <w:rPr>
        <w:rFonts w:eastAsia="Calibri" w:cs="Arial" w:hint="default"/>
        <w:sz w:val="22"/>
      </w:rPr>
    </w:lvl>
    <w:lvl w:ilvl="6">
      <w:start w:val="1"/>
      <w:numFmt w:val="decimal"/>
      <w:lvlText w:val="%1.%2.%3.%4.%5.%6.%7"/>
      <w:lvlJc w:val="left"/>
      <w:pPr>
        <w:ind w:left="1440" w:hanging="1440"/>
      </w:pPr>
      <w:rPr>
        <w:rFonts w:eastAsia="Calibri" w:cs="Arial" w:hint="default"/>
        <w:sz w:val="22"/>
      </w:rPr>
    </w:lvl>
    <w:lvl w:ilvl="7">
      <w:start w:val="1"/>
      <w:numFmt w:val="decimal"/>
      <w:lvlText w:val="%1.%2.%3.%4.%5.%6.%7.%8"/>
      <w:lvlJc w:val="left"/>
      <w:pPr>
        <w:ind w:left="1440" w:hanging="1440"/>
      </w:pPr>
      <w:rPr>
        <w:rFonts w:eastAsia="Calibri" w:cs="Arial" w:hint="default"/>
        <w:sz w:val="22"/>
      </w:rPr>
    </w:lvl>
    <w:lvl w:ilvl="8">
      <w:start w:val="1"/>
      <w:numFmt w:val="decimal"/>
      <w:lvlText w:val="%1.%2.%3.%4.%5.%6.%7.%8.%9"/>
      <w:lvlJc w:val="left"/>
      <w:pPr>
        <w:ind w:left="1800" w:hanging="1800"/>
      </w:pPr>
      <w:rPr>
        <w:rFonts w:eastAsia="Calibri" w:cs="Arial" w:hint="default"/>
        <w:sz w:val="22"/>
      </w:rPr>
    </w:lvl>
  </w:abstractNum>
  <w:abstractNum w:abstractNumId="16" w15:restartNumberingAfterBreak="0">
    <w:nsid w:val="415E6E64"/>
    <w:multiLevelType w:val="multilevel"/>
    <w:tmpl w:val="943AE118"/>
    <w:lvl w:ilvl="0">
      <w:start w:val="1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465874"/>
    <w:multiLevelType w:val="multilevel"/>
    <w:tmpl w:val="54909B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5976397"/>
    <w:multiLevelType w:val="hybridMultilevel"/>
    <w:tmpl w:val="BA18B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AD0D40"/>
    <w:multiLevelType w:val="multilevel"/>
    <w:tmpl w:val="080874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FB3B8F"/>
    <w:multiLevelType w:val="multilevel"/>
    <w:tmpl w:val="3216F1E8"/>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5B368D5"/>
    <w:multiLevelType w:val="hybridMultilevel"/>
    <w:tmpl w:val="5298F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824413"/>
    <w:multiLevelType w:val="hybridMultilevel"/>
    <w:tmpl w:val="A4887C2E"/>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23" w15:restartNumberingAfterBreak="0">
    <w:nsid w:val="595F5F00"/>
    <w:multiLevelType w:val="multilevel"/>
    <w:tmpl w:val="BF54A17A"/>
    <w:lvl w:ilvl="0">
      <w:start w:val="2"/>
      <w:numFmt w:val="decimal"/>
      <w:lvlText w:val="%1"/>
      <w:lvlJc w:val="left"/>
      <w:pPr>
        <w:ind w:left="360" w:hanging="360"/>
      </w:pPr>
      <w:rPr>
        <w:rFonts w:eastAsia="Calibri" w:cs="Arial" w:hint="default"/>
        <w:sz w:val="22"/>
      </w:rPr>
    </w:lvl>
    <w:lvl w:ilvl="1">
      <w:start w:val="1"/>
      <w:numFmt w:val="decimal"/>
      <w:lvlText w:val="%1.%2"/>
      <w:lvlJc w:val="left"/>
      <w:pPr>
        <w:ind w:left="360" w:hanging="360"/>
      </w:pPr>
      <w:rPr>
        <w:rFonts w:eastAsia="Calibri" w:cs="Arial" w:hint="default"/>
        <w:sz w:val="22"/>
      </w:rPr>
    </w:lvl>
    <w:lvl w:ilvl="2">
      <w:start w:val="1"/>
      <w:numFmt w:val="decimal"/>
      <w:lvlText w:val="%1.%2.%3"/>
      <w:lvlJc w:val="left"/>
      <w:pPr>
        <w:ind w:left="720" w:hanging="720"/>
      </w:pPr>
      <w:rPr>
        <w:rFonts w:eastAsia="Calibri" w:cs="Arial" w:hint="default"/>
        <w:sz w:val="22"/>
      </w:rPr>
    </w:lvl>
    <w:lvl w:ilvl="3">
      <w:start w:val="1"/>
      <w:numFmt w:val="decimal"/>
      <w:lvlText w:val="%1.%2.%3.%4"/>
      <w:lvlJc w:val="left"/>
      <w:pPr>
        <w:ind w:left="720" w:hanging="720"/>
      </w:pPr>
      <w:rPr>
        <w:rFonts w:eastAsia="Calibri" w:cs="Arial" w:hint="default"/>
        <w:sz w:val="22"/>
      </w:rPr>
    </w:lvl>
    <w:lvl w:ilvl="4">
      <w:start w:val="1"/>
      <w:numFmt w:val="decimal"/>
      <w:lvlText w:val="%1.%2.%3.%4.%5"/>
      <w:lvlJc w:val="left"/>
      <w:pPr>
        <w:ind w:left="1080" w:hanging="1080"/>
      </w:pPr>
      <w:rPr>
        <w:rFonts w:eastAsia="Calibri" w:cs="Arial" w:hint="default"/>
        <w:sz w:val="22"/>
      </w:rPr>
    </w:lvl>
    <w:lvl w:ilvl="5">
      <w:start w:val="1"/>
      <w:numFmt w:val="decimal"/>
      <w:lvlText w:val="%1.%2.%3.%4.%5.%6"/>
      <w:lvlJc w:val="left"/>
      <w:pPr>
        <w:ind w:left="1080" w:hanging="1080"/>
      </w:pPr>
      <w:rPr>
        <w:rFonts w:eastAsia="Calibri" w:cs="Arial" w:hint="default"/>
        <w:sz w:val="22"/>
      </w:rPr>
    </w:lvl>
    <w:lvl w:ilvl="6">
      <w:start w:val="1"/>
      <w:numFmt w:val="decimal"/>
      <w:lvlText w:val="%1.%2.%3.%4.%5.%6.%7"/>
      <w:lvlJc w:val="left"/>
      <w:pPr>
        <w:ind w:left="1440" w:hanging="1440"/>
      </w:pPr>
      <w:rPr>
        <w:rFonts w:eastAsia="Calibri" w:cs="Arial" w:hint="default"/>
        <w:sz w:val="22"/>
      </w:rPr>
    </w:lvl>
    <w:lvl w:ilvl="7">
      <w:start w:val="1"/>
      <w:numFmt w:val="decimal"/>
      <w:lvlText w:val="%1.%2.%3.%4.%5.%6.%7.%8"/>
      <w:lvlJc w:val="left"/>
      <w:pPr>
        <w:ind w:left="1440" w:hanging="1440"/>
      </w:pPr>
      <w:rPr>
        <w:rFonts w:eastAsia="Calibri" w:cs="Arial" w:hint="default"/>
        <w:sz w:val="22"/>
      </w:rPr>
    </w:lvl>
    <w:lvl w:ilvl="8">
      <w:start w:val="1"/>
      <w:numFmt w:val="decimal"/>
      <w:lvlText w:val="%1.%2.%3.%4.%5.%6.%7.%8.%9"/>
      <w:lvlJc w:val="left"/>
      <w:pPr>
        <w:ind w:left="1800" w:hanging="1800"/>
      </w:pPr>
      <w:rPr>
        <w:rFonts w:eastAsia="Calibri" w:cs="Arial" w:hint="default"/>
        <w:sz w:val="22"/>
      </w:rPr>
    </w:lvl>
  </w:abstractNum>
  <w:abstractNum w:abstractNumId="24" w15:restartNumberingAfterBreak="0">
    <w:nsid w:val="59706EDB"/>
    <w:multiLevelType w:val="multilevel"/>
    <w:tmpl w:val="12F24AFE"/>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8D00CF"/>
    <w:multiLevelType w:val="multilevel"/>
    <w:tmpl w:val="5C5E0F12"/>
    <w:lvl w:ilvl="0">
      <w:start w:val="1"/>
      <w:numFmt w:val="decimal"/>
      <w:lvlText w:val="%1."/>
      <w:lvlJc w:val="left"/>
      <w:pPr>
        <w:ind w:left="360" w:hanging="360"/>
      </w:pPr>
    </w:lvl>
    <w:lvl w:ilvl="1">
      <w:start w:val="4"/>
      <w:numFmt w:val="decimal"/>
      <w:isLgl/>
      <w:lvlText w:val="%1.%2"/>
      <w:lvlJc w:val="left"/>
      <w:pPr>
        <w:ind w:left="360" w:hanging="360"/>
      </w:pPr>
      <w:rPr>
        <w:rFonts w:cs="Arial" w:hint="default"/>
        <w:color w:val="000000" w:themeColor="text1"/>
        <w:sz w:val="22"/>
      </w:rPr>
    </w:lvl>
    <w:lvl w:ilvl="2">
      <w:start w:val="1"/>
      <w:numFmt w:val="decimal"/>
      <w:isLgl/>
      <w:lvlText w:val="%1.%2.%3"/>
      <w:lvlJc w:val="left"/>
      <w:pPr>
        <w:ind w:left="720" w:hanging="720"/>
      </w:pPr>
      <w:rPr>
        <w:rFonts w:cs="Arial" w:hint="default"/>
        <w:color w:val="000000" w:themeColor="text1"/>
        <w:sz w:val="22"/>
      </w:rPr>
    </w:lvl>
    <w:lvl w:ilvl="3">
      <w:start w:val="1"/>
      <w:numFmt w:val="decimal"/>
      <w:isLgl/>
      <w:lvlText w:val="%1.%2.%3.%4"/>
      <w:lvlJc w:val="left"/>
      <w:pPr>
        <w:ind w:left="720" w:hanging="720"/>
      </w:pPr>
      <w:rPr>
        <w:rFonts w:cs="Arial" w:hint="default"/>
        <w:color w:val="000000" w:themeColor="text1"/>
        <w:sz w:val="22"/>
      </w:rPr>
    </w:lvl>
    <w:lvl w:ilvl="4">
      <w:start w:val="1"/>
      <w:numFmt w:val="decimal"/>
      <w:isLgl/>
      <w:lvlText w:val="%1.%2.%3.%4.%5"/>
      <w:lvlJc w:val="left"/>
      <w:pPr>
        <w:ind w:left="1080" w:hanging="1080"/>
      </w:pPr>
      <w:rPr>
        <w:rFonts w:cs="Arial" w:hint="default"/>
        <w:color w:val="000000" w:themeColor="text1"/>
        <w:sz w:val="22"/>
      </w:rPr>
    </w:lvl>
    <w:lvl w:ilvl="5">
      <w:start w:val="1"/>
      <w:numFmt w:val="decimal"/>
      <w:isLgl/>
      <w:lvlText w:val="%1.%2.%3.%4.%5.%6"/>
      <w:lvlJc w:val="left"/>
      <w:pPr>
        <w:ind w:left="1080" w:hanging="1080"/>
      </w:pPr>
      <w:rPr>
        <w:rFonts w:cs="Arial" w:hint="default"/>
        <w:color w:val="000000" w:themeColor="text1"/>
        <w:sz w:val="22"/>
      </w:rPr>
    </w:lvl>
    <w:lvl w:ilvl="6">
      <w:start w:val="1"/>
      <w:numFmt w:val="decimal"/>
      <w:isLgl/>
      <w:lvlText w:val="%1.%2.%3.%4.%5.%6.%7"/>
      <w:lvlJc w:val="left"/>
      <w:pPr>
        <w:ind w:left="1440" w:hanging="1440"/>
      </w:pPr>
      <w:rPr>
        <w:rFonts w:cs="Arial" w:hint="default"/>
        <w:color w:val="000000" w:themeColor="text1"/>
        <w:sz w:val="22"/>
      </w:rPr>
    </w:lvl>
    <w:lvl w:ilvl="7">
      <w:start w:val="1"/>
      <w:numFmt w:val="decimal"/>
      <w:isLgl/>
      <w:lvlText w:val="%1.%2.%3.%4.%5.%6.%7.%8"/>
      <w:lvlJc w:val="left"/>
      <w:pPr>
        <w:ind w:left="1440" w:hanging="1440"/>
      </w:pPr>
      <w:rPr>
        <w:rFonts w:cs="Arial" w:hint="default"/>
        <w:color w:val="000000" w:themeColor="text1"/>
        <w:sz w:val="22"/>
      </w:rPr>
    </w:lvl>
    <w:lvl w:ilvl="8">
      <w:start w:val="1"/>
      <w:numFmt w:val="decimal"/>
      <w:isLgl/>
      <w:lvlText w:val="%1.%2.%3.%4.%5.%6.%7.%8.%9"/>
      <w:lvlJc w:val="left"/>
      <w:pPr>
        <w:ind w:left="1440" w:hanging="1440"/>
      </w:pPr>
      <w:rPr>
        <w:rFonts w:cs="Arial" w:hint="default"/>
        <w:color w:val="000000" w:themeColor="text1"/>
        <w:sz w:val="22"/>
      </w:rPr>
    </w:lvl>
  </w:abstractNum>
  <w:abstractNum w:abstractNumId="26" w15:restartNumberingAfterBreak="0">
    <w:nsid w:val="602A013D"/>
    <w:multiLevelType w:val="multilevel"/>
    <w:tmpl w:val="49582D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10C4CA4"/>
    <w:multiLevelType w:val="multilevel"/>
    <w:tmpl w:val="A10855EC"/>
    <w:lvl w:ilvl="0">
      <w:start w:val="16"/>
      <w:numFmt w:val="decimal"/>
      <w:lvlText w:val="%1"/>
      <w:lvlJc w:val="left"/>
      <w:pPr>
        <w:ind w:left="465" w:hanging="465"/>
      </w:pPr>
      <w:rPr>
        <w:rFonts w:hint="default"/>
        <w:b/>
      </w:rPr>
    </w:lvl>
    <w:lvl w:ilvl="1">
      <w:start w:val="1"/>
      <w:numFmt w:val="decimal"/>
      <w:lvlText w:val="%1.%2"/>
      <w:lvlJc w:val="left"/>
      <w:pPr>
        <w:ind w:left="465" w:hanging="465"/>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1CB6D73"/>
    <w:multiLevelType w:val="hybridMultilevel"/>
    <w:tmpl w:val="21901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040388"/>
    <w:multiLevelType w:val="hybridMultilevel"/>
    <w:tmpl w:val="AB426D1C"/>
    <w:lvl w:ilvl="0" w:tplc="0809000F">
      <w:start w:val="1"/>
      <w:numFmt w:val="decimal"/>
      <w:lvlText w:val="%1."/>
      <w:lvlJc w:val="left"/>
      <w:pPr>
        <w:ind w:left="1185" w:hanging="360"/>
      </w:pPr>
      <w:rPr>
        <w:rFonts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30" w15:restartNumberingAfterBreak="0">
    <w:nsid w:val="62256F9A"/>
    <w:multiLevelType w:val="multilevel"/>
    <w:tmpl w:val="4A529DDA"/>
    <w:lvl w:ilvl="0">
      <w:start w:val="12"/>
      <w:numFmt w:val="decimal"/>
      <w:lvlText w:val="%1."/>
      <w:lvlJc w:val="left"/>
      <w:pPr>
        <w:tabs>
          <w:tab w:val="num" w:pos="360"/>
        </w:tabs>
        <w:ind w:left="170" w:hanging="170"/>
      </w:pPr>
      <w:rPr>
        <w:rFonts w:asciiTheme="minorHAnsi" w:hAnsiTheme="minorHAnsi" w:cs="Arial" w:hint="default"/>
        <w:b/>
        <w:i w:val="0"/>
        <w:sz w:val="24"/>
      </w:rPr>
    </w:lvl>
    <w:lvl w:ilvl="1">
      <w:start w:val="8"/>
      <w:numFmt w:val="decimal"/>
      <w:lvlText w:val="%1.%2."/>
      <w:lvlJc w:val="left"/>
      <w:pPr>
        <w:tabs>
          <w:tab w:val="num" w:pos="502"/>
        </w:tabs>
        <w:ind w:left="312" w:hanging="170"/>
      </w:pPr>
      <w:rPr>
        <w:rFonts w:ascii="Arial" w:hAnsi="Arial" w:cs="Arial" w:hint="default"/>
        <w:b w:val="0"/>
        <w:i w:val="0"/>
        <w:sz w:val="20"/>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1" w15:restartNumberingAfterBreak="0">
    <w:nsid w:val="630E5D1B"/>
    <w:multiLevelType w:val="multilevel"/>
    <w:tmpl w:val="B67AD6A2"/>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28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32" w15:restartNumberingAfterBreak="0">
    <w:nsid w:val="6AEE758B"/>
    <w:multiLevelType w:val="hybridMultilevel"/>
    <w:tmpl w:val="AD80A526"/>
    <w:lvl w:ilvl="0" w:tplc="D188FDB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402A74"/>
    <w:multiLevelType w:val="multilevel"/>
    <w:tmpl w:val="2A8EFA1C"/>
    <w:lvl w:ilvl="0">
      <w:start w:val="18"/>
      <w:numFmt w:val="decimal"/>
      <w:lvlText w:val="%1"/>
      <w:lvlJc w:val="left"/>
      <w:pPr>
        <w:ind w:left="465" w:hanging="465"/>
      </w:pPr>
      <w:rPr>
        <w:rFonts w:hint="default"/>
        <w:sz w:val="24"/>
      </w:rPr>
    </w:lvl>
    <w:lvl w:ilvl="1">
      <w:start w:val="1"/>
      <w:numFmt w:val="decimal"/>
      <w:lvlText w:val="%1.%2"/>
      <w:lvlJc w:val="left"/>
      <w:pPr>
        <w:ind w:left="465" w:hanging="465"/>
      </w:pPr>
      <w:rPr>
        <w:rFonts w:hint="default"/>
        <w:sz w:val="22"/>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C996E8C"/>
    <w:multiLevelType w:val="hybridMultilevel"/>
    <w:tmpl w:val="9844E5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D5B037C"/>
    <w:multiLevelType w:val="multilevel"/>
    <w:tmpl w:val="4A529DDA"/>
    <w:lvl w:ilvl="0">
      <w:start w:val="12"/>
      <w:numFmt w:val="decimal"/>
      <w:lvlText w:val="%1."/>
      <w:lvlJc w:val="left"/>
      <w:pPr>
        <w:tabs>
          <w:tab w:val="num" w:pos="360"/>
        </w:tabs>
        <w:ind w:left="170" w:hanging="170"/>
      </w:pPr>
      <w:rPr>
        <w:rFonts w:asciiTheme="minorHAnsi" w:hAnsiTheme="minorHAnsi" w:cs="Arial" w:hint="default"/>
        <w:b/>
        <w:i w:val="0"/>
        <w:sz w:val="24"/>
      </w:rPr>
    </w:lvl>
    <w:lvl w:ilvl="1">
      <w:start w:val="8"/>
      <w:numFmt w:val="decimal"/>
      <w:lvlText w:val="%1.%2."/>
      <w:lvlJc w:val="left"/>
      <w:pPr>
        <w:tabs>
          <w:tab w:val="num" w:pos="502"/>
        </w:tabs>
        <w:ind w:left="312" w:hanging="170"/>
      </w:pPr>
      <w:rPr>
        <w:rFonts w:ascii="Arial" w:hAnsi="Arial" w:cs="Arial" w:hint="default"/>
        <w:b w:val="0"/>
        <w:i w:val="0"/>
        <w:sz w:val="20"/>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6" w15:restartNumberingAfterBreak="0">
    <w:nsid w:val="705F4EB8"/>
    <w:multiLevelType w:val="multilevel"/>
    <w:tmpl w:val="B1DE1508"/>
    <w:lvl w:ilvl="0">
      <w:start w:val="1"/>
      <w:numFmt w:val="decimal"/>
      <w:lvlText w:val="%1."/>
      <w:lvlJc w:val="left"/>
      <w:pPr>
        <w:tabs>
          <w:tab w:val="num" w:pos="360"/>
        </w:tabs>
        <w:ind w:left="170" w:hanging="170"/>
      </w:pPr>
      <w:rPr>
        <w:rFonts w:asciiTheme="minorHAnsi" w:hAnsiTheme="minorHAnsi"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7" w15:restartNumberingAfterBreak="0">
    <w:nsid w:val="70A532EF"/>
    <w:multiLevelType w:val="hybridMultilevel"/>
    <w:tmpl w:val="C024C0F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3916E2"/>
    <w:multiLevelType w:val="singleLevel"/>
    <w:tmpl w:val="0AF23F5A"/>
    <w:name w:val="seq1"/>
    <w:lvl w:ilvl="0">
      <w:start w:val="2"/>
      <w:numFmt w:val="lowerLetter"/>
      <w:lvlText w:val="%1."/>
      <w:lvlJc w:val="left"/>
      <w:pPr>
        <w:tabs>
          <w:tab w:val="num" w:pos="1069"/>
        </w:tabs>
        <w:ind w:left="1069" w:hanging="360"/>
      </w:pPr>
      <w:rPr>
        <w:rFonts w:hint="default"/>
      </w:rPr>
    </w:lvl>
  </w:abstractNum>
  <w:abstractNum w:abstractNumId="39" w15:restartNumberingAfterBreak="0">
    <w:nsid w:val="74314F64"/>
    <w:multiLevelType w:val="multilevel"/>
    <w:tmpl w:val="080874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8342E78"/>
    <w:multiLevelType w:val="multilevel"/>
    <w:tmpl w:val="AC28F034"/>
    <w:lvl w:ilvl="0">
      <w:start w:val="5"/>
      <w:numFmt w:val="decimal"/>
      <w:lvlText w:val="%1."/>
      <w:lvlJc w:val="left"/>
      <w:pPr>
        <w:tabs>
          <w:tab w:val="num" w:pos="360"/>
        </w:tabs>
        <w:ind w:left="170" w:hanging="170"/>
      </w:pPr>
      <w:rPr>
        <w:rFonts w:asciiTheme="minorHAnsi" w:hAnsiTheme="minorHAnsi"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0"/>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1" w15:restartNumberingAfterBreak="0">
    <w:nsid w:val="7FD31FB5"/>
    <w:multiLevelType w:val="multilevel"/>
    <w:tmpl w:val="4A529DDA"/>
    <w:lvl w:ilvl="0">
      <w:start w:val="12"/>
      <w:numFmt w:val="decimal"/>
      <w:lvlText w:val="%1."/>
      <w:lvlJc w:val="left"/>
      <w:pPr>
        <w:tabs>
          <w:tab w:val="num" w:pos="360"/>
        </w:tabs>
        <w:ind w:left="170" w:hanging="170"/>
      </w:pPr>
      <w:rPr>
        <w:rFonts w:asciiTheme="minorHAnsi" w:hAnsiTheme="minorHAnsi" w:cs="Arial" w:hint="default"/>
        <w:b/>
        <w:i w:val="0"/>
        <w:sz w:val="24"/>
      </w:rPr>
    </w:lvl>
    <w:lvl w:ilvl="1">
      <w:start w:val="8"/>
      <w:numFmt w:val="decimal"/>
      <w:lvlText w:val="%1.%2."/>
      <w:lvlJc w:val="left"/>
      <w:pPr>
        <w:tabs>
          <w:tab w:val="num" w:pos="502"/>
        </w:tabs>
        <w:ind w:left="312" w:hanging="170"/>
      </w:pPr>
      <w:rPr>
        <w:rFonts w:ascii="Arial" w:hAnsi="Arial" w:cs="Arial" w:hint="default"/>
        <w:b w:val="0"/>
        <w:i w:val="0"/>
        <w:sz w:val="20"/>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16cid:durableId="1010982989">
    <w:abstractNumId w:val="0"/>
  </w:num>
  <w:num w:numId="2" w16cid:durableId="1249657062">
    <w:abstractNumId w:val="36"/>
  </w:num>
  <w:num w:numId="3" w16cid:durableId="893321813">
    <w:abstractNumId w:val="31"/>
  </w:num>
  <w:num w:numId="4" w16cid:durableId="1346053047">
    <w:abstractNumId w:val="32"/>
  </w:num>
  <w:num w:numId="5" w16cid:durableId="912349849">
    <w:abstractNumId w:val="7"/>
  </w:num>
  <w:num w:numId="6" w16cid:durableId="1402407323">
    <w:abstractNumId w:val="22"/>
  </w:num>
  <w:num w:numId="7" w16cid:durableId="100154327">
    <w:abstractNumId w:val="17"/>
  </w:num>
  <w:num w:numId="8" w16cid:durableId="1426998951">
    <w:abstractNumId w:val="39"/>
  </w:num>
  <w:num w:numId="9" w16cid:durableId="505633156">
    <w:abstractNumId w:val="9"/>
  </w:num>
  <w:num w:numId="10" w16cid:durableId="350034435">
    <w:abstractNumId w:val="27"/>
  </w:num>
  <w:num w:numId="11" w16cid:durableId="1099594428">
    <w:abstractNumId w:val="34"/>
  </w:num>
  <w:num w:numId="12" w16cid:durableId="922690205">
    <w:abstractNumId w:val="29"/>
  </w:num>
  <w:num w:numId="13" w16cid:durableId="1028992996">
    <w:abstractNumId w:val="14"/>
  </w:num>
  <w:num w:numId="14" w16cid:durableId="1698266348">
    <w:abstractNumId w:val="26"/>
  </w:num>
  <w:num w:numId="15" w16cid:durableId="741951301">
    <w:abstractNumId w:val="6"/>
  </w:num>
  <w:num w:numId="16" w16cid:durableId="1009212052">
    <w:abstractNumId w:val="10"/>
  </w:num>
  <w:num w:numId="17" w16cid:durableId="1021735566">
    <w:abstractNumId w:val="19"/>
  </w:num>
  <w:num w:numId="18" w16cid:durableId="217785626">
    <w:abstractNumId w:val="1"/>
  </w:num>
  <w:num w:numId="19" w16cid:durableId="32270625">
    <w:abstractNumId w:val="20"/>
  </w:num>
  <w:num w:numId="20" w16cid:durableId="553659526">
    <w:abstractNumId w:val="2"/>
  </w:num>
  <w:num w:numId="21" w16cid:durableId="1569460015">
    <w:abstractNumId w:val="4"/>
  </w:num>
  <w:num w:numId="22" w16cid:durableId="1921717058">
    <w:abstractNumId w:val="24"/>
  </w:num>
  <w:num w:numId="23" w16cid:durableId="332757146">
    <w:abstractNumId w:val="16"/>
  </w:num>
  <w:num w:numId="24" w16cid:durableId="477259716">
    <w:abstractNumId w:val="33"/>
  </w:num>
  <w:num w:numId="25" w16cid:durableId="1008993272">
    <w:abstractNumId w:val="3"/>
  </w:num>
  <w:num w:numId="26" w16cid:durableId="645865072">
    <w:abstractNumId w:val="28"/>
  </w:num>
  <w:num w:numId="27" w16cid:durableId="513962017">
    <w:abstractNumId w:val="37"/>
  </w:num>
  <w:num w:numId="28" w16cid:durableId="1341814104">
    <w:abstractNumId w:val="12"/>
  </w:num>
  <w:num w:numId="29" w16cid:durableId="713312735">
    <w:abstractNumId w:val="11"/>
  </w:num>
  <w:num w:numId="30" w16cid:durableId="1937975941">
    <w:abstractNumId w:val="18"/>
  </w:num>
  <w:num w:numId="31" w16cid:durableId="1820146023">
    <w:abstractNumId w:val="25"/>
  </w:num>
  <w:num w:numId="32" w16cid:durableId="914164614">
    <w:abstractNumId w:val="21"/>
  </w:num>
  <w:num w:numId="33" w16cid:durableId="1745058130">
    <w:abstractNumId w:val="40"/>
  </w:num>
  <w:num w:numId="34" w16cid:durableId="1059400626">
    <w:abstractNumId w:val="8"/>
  </w:num>
  <w:num w:numId="35" w16cid:durableId="1080099630">
    <w:abstractNumId w:val="41"/>
  </w:num>
  <w:num w:numId="36" w16cid:durableId="1447888577">
    <w:abstractNumId w:val="13"/>
  </w:num>
  <w:num w:numId="37" w16cid:durableId="2118019821">
    <w:abstractNumId w:val="35"/>
  </w:num>
  <w:num w:numId="38" w16cid:durableId="1993557299">
    <w:abstractNumId w:val="30"/>
  </w:num>
  <w:num w:numId="39" w16cid:durableId="1898391742">
    <w:abstractNumId w:val="23"/>
  </w:num>
  <w:num w:numId="40" w16cid:durableId="1284070353">
    <w:abstractNumId w:val="5"/>
  </w:num>
  <w:num w:numId="41" w16cid:durableId="19746380">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1DA"/>
    <w:rsid w:val="00000394"/>
    <w:rsid w:val="000004D9"/>
    <w:rsid w:val="00001894"/>
    <w:rsid w:val="000024C2"/>
    <w:rsid w:val="000029C8"/>
    <w:rsid w:val="000030E0"/>
    <w:rsid w:val="000042D6"/>
    <w:rsid w:val="0000581E"/>
    <w:rsid w:val="00006FE3"/>
    <w:rsid w:val="000071A4"/>
    <w:rsid w:val="000074D6"/>
    <w:rsid w:val="00007917"/>
    <w:rsid w:val="000105E9"/>
    <w:rsid w:val="00010623"/>
    <w:rsid w:val="000111E6"/>
    <w:rsid w:val="00011E40"/>
    <w:rsid w:val="00012CCD"/>
    <w:rsid w:val="000136B0"/>
    <w:rsid w:val="00013985"/>
    <w:rsid w:val="00013C4F"/>
    <w:rsid w:val="00013E1E"/>
    <w:rsid w:val="00015005"/>
    <w:rsid w:val="0001680A"/>
    <w:rsid w:val="000169DD"/>
    <w:rsid w:val="00016FA7"/>
    <w:rsid w:val="00017AA4"/>
    <w:rsid w:val="00022574"/>
    <w:rsid w:val="000226EB"/>
    <w:rsid w:val="00022AD6"/>
    <w:rsid w:val="00022C73"/>
    <w:rsid w:val="00023BF7"/>
    <w:rsid w:val="000247A9"/>
    <w:rsid w:val="000247EA"/>
    <w:rsid w:val="00025CB6"/>
    <w:rsid w:val="00027DC8"/>
    <w:rsid w:val="00030B5D"/>
    <w:rsid w:val="000316A2"/>
    <w:rsid w:val="00031D53"/>
    <w:rsid w:val="00031D5E"/>
    <w:rsid w:val="000325E1"/>
    <w:rsid w:val="00032932"/>
    <w:rsid w:val="00032B56"/>
    <w:rsid w:val="000332F1"/>
    <w:rsid w:val="0003489C"/>
    <w:rsid w:val="00034B83"/>
    <w:rsid w:val="00034D8B"/>
    <w:rsid w:val="00035BE1"/>
    <w:rsid w:val="000364C3"/>
    <w:rsid w:val="00036BB3"/>
    <w:rsid w:val="00040377"/>
    <w:rsid w:val="00040B54"/>
    <w:rsid w:val="000441D0"/>
    <w:rsid w:val="000443C3"/>
    <w:rsid w:val="00044812"/>
    <w:rsid w:val="000448F8"/>
    <w:rsid w:val="00044E5F"/>
    <w:rsid w:val="000450A3"/>
    <w:rsid w:val="00047186"/>
    <w:rsid w:val="00050239"/>
    <w:rsid w:val="00050BD6"/>
    <w:rsid w:val="00050E94"/>
    <w:rsid w:val="00051481"/>
    <w:rsid w:val="00051A4E"/>
    <w:rsid w:val="00051B59"/>
    <w:rsid w:val="00051F06"/>
    <w:rsid w:val="0005584C"/>
    <w:rsid w:val="00055DD7"/>
    <w:rsid w:val="00056220"/>
    <w:rsid w:val="00056963"/>
    <w:rsid w:val="000574AC"/>
    <w:rsid w:val="00057672"/>
    <w:rsid w:val="00060819"/>
    <w:rsid w:val="00060978"/>
    <w:rsid w:val="00061D16"/>
    <w:rsid w:val="00063CB8"/>
    <w:rsid w:val="0006490C"/>
    <w:rsid w:val="00065D03"/>
    <w:rsid w:val="00065F23"/>
    <w:rsid w:val="000661DA"/>
    <w:rsid w:val="0006623E"/>
    <w:rsid w:val="00067443"/>
    <w:rsid w:val="00067C7F"/>
    <w:rsid w:val="00070D8E"/>
    <w:rsid w:val="00071151"/>
    <w:rsid w:val="00071DA1"/>
    <w:rsid w:val="000721D3"/>
    <w:rsid w:val="000724C6"/>
    <w:rsid w:val="000729D3"/>
    <w:rsid w:val="00073BB0"/>
    <w:rsid w:val="00074123"/>
    <w:rsid w:val="000745BC"/>
    <w:rsid w:val="00074F47"/>
    <w:rsid w:val="000751F3"/>
    <w:rsid w:val="000756FA"/>
    <w:rsid w:val="00075B7F"/>
    <w:rsid w:val="00075E1E"/>
    <w:rsid w:val="00076EB5"/>
    <w:rsid w:val="00077FD9"/>
    <w:rsid w:val="00080595"/>
    <w:rsid w:val="00081348"/>
    <w:rsid w:val="000813E2"/>
    <w:rsid w:val="000814B0"/>
    <w:rsid w:val="0008343E"/>
    <w:rsid w:val="000839EF"/>
    <w:rsid w:val="00083A87"/>
    <w:rsid w:val="00083BCC"/>
    <w:rsid w:val="0008557D"/>
    <w:rsid w:val="00086BBB"/>
    <w:rsid w:val="000874F6"/>
    <w:rsid w:val="00087CC0"/>
    <w:rsid w:val="00087F3A"/>
    <w:rsid w:val="00090431"/>
    <w:rsid w:val="000927E7"/>
    <w:rsid w:val="00093AC4"/>
    <w:rsid w:val="00093D50"/>
    <w:rsid w:val="000942DD"/>
    <w:rsid w:val="00094C3C"/>
    <w:rsid w:val="00095E08"/>
    <w:rsid w:val="00095EF7"/>
    <w:rsid w:val="000A00F2"/>
    <w:rsid w:val="000A0D71"/>
    <w:rsid w:val="000A1284"/>
    <w:rsid w:val="000A20CA"/>
    <w:rsid w:val="000A37C4"/>
    <w:rsid w:val="000A3B80"/>
    <w:rsid w:val="000A41C0"/>
    <w:rsid w:val="000A4C9E"/>
    <w:rsid w:val="000A5002"/>
    <w:rsid w:val="000A5952"/>
    <w:rsid w:val="000A6007"/>
    <w:rsid w:val="000A6544"/>
    <w:rsid w:val="000A6734"/>
    <w:rsid w:val="000B0968"/>
    <w:rsid w:val="000B0F05"/>
    <w:rsid w:val="000B1FEC"/>
    <w:rsid w:val="000B2C0B"/>
    <w:rsid w:val="000B2C50"/>
    <w:rsid w:val="000B41D8"/>
    <w:rsid w:val="000B4726"/>
    <w:rsid w:val="000B486C"/>
    <w:rsid w:val="000B577E"/>
    <w:rsid w:val="000B6340"/>
    <w:rsid w:val="000B6BF0"/>
    <w:rsid w:val="000B74D5"/>
    <w:rsid w:val="000B7672"/>
    <w:rsid w:val="000B794A"/>
    <w:rsid w:val="000C22A4"/>
    <w:rsid w:val="000C2EFA"/>
    <w:rsid w:val="000C38E3"/>
    <w:rsid w:val="000C3A47"/>
    <w:rsid w:val="000C3EC0"/>
    <w:rsid w:val="000C46C3"/>
    <w:rsid w:val="000C4758"/>
    <w:rsid w:val="000C5413"/>
    <w:rsid w:val="000C5CD9"/>
    <w:rsid w:val="000C6967"/>
    <w:rsid w:val="000C72DF"/>
    <w:rsid w:val="000C73F6"/>
    <w:rsid w:val="000D0765"/>
    <w:rsid w:val="000D0E15"/>
    <w:rsid w:val="000D182E"/>
    <w:rsid w:val="000D1DCE"/>
    <w:rsid w:val="000D2103"/>
    <w:rsid w:val="000D5C0B"/>
    <w:rsid w:val="000E0D69"/>
    <w:rsid w:val="000E14C1"/>
    <w:rsid w:val="000E1931"/>
    <w:rsid w:val="000E1EEF"/>
    <w:rsid w:val="000E25AD"/>
    <w:rsid w:val="000E2845"/>
    <w:rsid w:val="000E28BE"/>
    <w:rsid w:val="000E4324"/>
    <w:rsid w:val="000E53FD"/>
    <w:rsid w:val="000E5C42"/>
    <w:rsid w:val="000E667D"/>
    <w:rsid w:val="000E6768"/>
    <w:rsid w:val="000E6A5A"/>
    <w:rsid w:val="000E7266"/>
    <w:rsid w:val="000E7DAB"/>
    <w:rsid w:val="000F0827"/>
    <w:rsid w:val="000F15CC"/>
    <w:rsid w:val="000F19A6"/>
    <w:rsid w:val="000F274F"/>
    <w:rsid w:val="000F4D41"/>
    <w:rsid w:val="000F5313"/>
    <w:rsid w:val="000F5B81"/>
    <w:rsid w:val="000F5C02"/>
    <w:rsid w:val="000F659C"/>
    <w:rsid w:val="000F6688"/>
    <w:rsid w:val="000F7B40"/>
    <w:rsid w:val="000F7DBA"/>
    <w:rsid w:val="000F7FE5"/>
    <w:rsid w:val="00100B13"/>
    <w:rsid w:val="00101539"/>
    <w:rsid w:val="001018CC"/>
    <w:rsid w:val="00102D37"/>
    <w:rsid w:val="00103335"/>
    <w:rsid w:val="00103AE6"/>
    <w:rsid w:val="00104087"/>
    <w:rsid w:val="00105941"/>
    <w:rsid w:val="00105C4B"/>
    <w:rsid w:val="00106265"/>
    <w:rsid w:val="0010692E"/>
    <w:rsid w:val="00106AA7"/>
    <w:rsid w:val="001072B6"/>
    <w:rsid w:val="001077F8"/>
    <w:rsid w:val="00107A4F"/>
    <w:rsid w:val="00107D6D"/>
    <w:rsid w:val="001100A9"/>
    <w:rsid w:val="001103CC"/>
    <w:rsid w:val="0011064E"/>
    <w:rsid w:val="00110733"/>
    <w:rsid w:val="0011153C"/>
    <w:rsid w:val="001119E7"/>
    <w:rsid w:val="00111AC0"/>
    <w:rsid w:val="00111D0D"/>
    <w:rsid w:val="00111F72"/>
    <w:rsid w:val="001151DF"/>
    <w:rsid w:val="00115242"/>
    <w:rsid w:val="001156E7"/>
    <w:rsid w:val="00116021"/>
    <w:rsid w:val="0011671B"/>
    <w:rsid w:val="00116C49"/>
    <w:rsid w:val="001202FE"/>
    <w:rsid w:val="00121151"/>
    <w:rsid w:val="00121799"/>
    <w:rsid w:val="00121817"/>
    <w:rsid w:val="00121A0B"/>
    <w:rsid w:val="00122578"/>
    <w:rsid w:val="00122A68"/>
    <w:rsid w:val="00122FD3"/>
    <w:rsid w:val="00123A9D"/>
    <w:rsid w:val="00123BEB"/>
    <w:rsid w:val="001243F3"/>
    <w:rsid w:val="00124D7F"/>
    <w:rsid w:val="00125875"/>
    <w:rsid w:val="00125CB4"/>
    <w:rsid w:val="00125DAF"/>
    <w:rsid w:val="001268DA"/>
    <w:rsid w:val="00130DD3"/>
    <w:rsid w:val="00131111"/>
    <w:rsid w:val="0013189F"/>
    <w:rsid w:val="001328FD"/>
    <w:rsid w:val="001350F9"/>
    <w:rsid w:val="001356F3"/>
    <w:rsid w:val="001367E1"/>
    <w:rsid w:val="0014173C"/>
    <w:rsid w:val="00141753"/>
    <w:rsid w:val="00141983"/>
    <w:rsid w:val="00143158"/>
    <w:rsid w:val="0014503D"/>
    <w:rsid w:val="00147895"/>
    <w:rsid w:val="001478C7"/>
    <w:rsid w:val="00147C5A"/>
    <w:rsid w:val="00150447"/>
    <w:rsid w:val="001510FF"/>
    <w:rsid w:val="001514E8"/>
    <w:rsid w:val="0015162B"/>
    <w:rsid w:val="001519B2"/>
    <w:rsid w:val="00151DF1"/>
    <w:rsid w:val="00151F51"/>
    <w:rsid w:val="00152063"/>
    <w:rsid w:val="001530E0"/>
    <w:rsid w:val="001540FE"/>
    <w:rsid w:val="00156280"/>
    <w:rsid w:val="0015690D"/>
    <w:rsid w:val="00160AA6"/>
    <w:rsid w:val="00160B6B"/>
    <w:rsid w:val="00161345"/>
    <w:rsid w:val="00162258"/>
    <w:rsid w:val="001626DE"/>
    <w:rsid w:val="00163362"/>
    <w:rsid w:val="00165A46"/>
    <w:rsid w:val="00166806"/>
    <w:rsid w:val="00170330"/>
    <w:rsid w:val="00170A06"/>
    <w:rsid w:val="001719B4"/>
    <w:rsid w:val="00171B9E"/>
    <w:rsid w:val="0017252C"/>
    <w:rsid w:val="0017258B"/>
    <w:rsid w:val="00172CC6"/>
    <w:rsid w:val="00174647"/>
    <w:rsid w:val="00175053"/>
    <w:rsid w:val="001750C6"/>
    <w:rsid w:val="00175427"/>
    <w:rsid w:val="00176906"/>
    <w:rsid w:val="00176BF5"/>
    <w:rsid w:val="00180499"/>
    <w:rsid w:val="00180B7A"/>
    <w:rsid w:val="00180DC3"/>
    <w:rsid w:val="001812C8"/>
    <w:rsid w:val="0018178B"/>
    <w:rsid w:val="00181B7D"/>
    <w:rsid w:val="001828B4"/>
    <w:rsid w:val="00182BF1"/>
    <w:rsid w:val="00182E46"/>
    <w:rsid w:val="001832BB"/>
    <w:rsid w:val="001838D2"/>
    <w:rsid w:val="00183E23"/>
    <w:rsid w:val="0018550A"/>
    <w:rsid w:val="00185C41"/>
    <w:rsid w:val="0018668E"/>
    <w:rsid w:val="001870A6"/>
    <w:rsid w:val="001872F9"/>
    <w:rsid w:val="0019055C"/>
    <w:rsid w:val="001905EF"/>
    <w:rsid w:val="0019148B"/>
    <w:rsid w:val="00191E03"/>
    <w:rsid w:val="00192021"/>
    <w:rsid w:val="001926C0"/>
    <w:rsid w:val="00192CC7"/>
    <w:rsid w:val="00192DD7"/>
    <w:rsid w:val="00194268"/>
    <w:rsid w:val="001943F3"/>
    <w:rsid w:val="0019617C"/>
    <w:rsid w:val="0019746E"/>
    <w:rsid w:val="00197959"/>
    <w:rsid w:val="00197EAD"/>
    <w:rsid w:val="001A0DC7"/>
    <w:rsid w:val="001A11D4"/>
    <w:rsid w:val="001A14DB"/>
    <w:rsid w:val="001A15D1"/>
    <w:rsid w:val="001A21A3"/>
    <w:rsid w:val="001A2FA6"/>
    <w:rsid w:val="001A32E4"/>
    <w:rsid w:val="001A3842"/>
    <w:rsid w:val="001A4690"/>
    <w:rsid w:val="001A4720"/>
    <w:rsid w:val="001A4840"/>
    <w:rsid w:val="001A5380"/>
    <w:rsid w:val="001A5F52"/>
    <w:rsid w:val="001A6E8E"/>
    <w:rsid w:val="001A7CA8"/>
    <w:rsid w:val="001B01F5"/>
    <w:rsid w:val="001B16B1"/>
    <w:rsid w:val="001B1936"/>
    <w:rsid w:val="001B1D57"/>
    <w:rsid w:val="001B28AB"/>
    <w:rsid w:val="001B29DD"/>
    <w:rsid w:val="001B369E"/>
    <w:rsid w:val="001B39E5"/>
    <w:rsid w:val="001B46D5"/>
    <w:rsid w:val="001B4AA8"/>
    <w:rsid w:val="001B59BE"/>
    <w:rsid w:val="001B71CD"/>
    <w:rsid w:val="001B7940"/>
    <w:rsid w:val="001C2F6F"/>
    <w:rsid w:val="001C30F2"/>
    <w:rsid w:val="001C3393"/>
    <w:rsid w:val="001C3456"/>
    <w:rsid w:val="001C3C2B"/>
    <w:rsid w:val="001C3CF2"/>
    <w:rsid w:val="001C52C7"/>
    <w:rsid w:val="001C59E9"/>
    <w:rsid w:val="001C5AA2"/>
    <w:rsid w:val="001C7219"/>
    <w:rsid w:val="001C772F"/>
    <w:rsid w:val="001C77E4"/>
    <w:rsid w:val="001D0669"/>
    <w:rsid w:val="001D0F3B"/>
    <w:rsid w:val="001D1684"/>
    <w:rsid w:val="001D1CE8"/>
    <w:rsid w:val="001D2EF0"/>
    <w:rsid w:val="001D3477"/>
    <w:rsid w:val="001D3669"/>
    <w:rsid w:val="001D39CC"/>
    <w:rsid w:val="001D4A27"/>
    <w:rsid w:val="001D52A0"/>
    <w:rsid w:val="001D564D"/>
    <w:rsid w:val="001D5AA2"/>
    <w:rsid w:val="001D656C"/>
    <w:rsid w:val="001D68E6"/>
    <w:rsid w:val="001E300A"/>
    <w:rsid w:val="001E3F45"/>
    <w:rsid w:val="001E53FC"/>
    <w:rsid w:val="001E57DC"/>
    <w:rsid w:val="001E6255"/>
    <w:rsid w:val="001E7D2B"/>
    <w:rsid w:val="001F00B2"/>
    <w:rsid w:val="001F0A87"/>
    <w:rsid w:val="001F0F68"/>
    <w:rsid w:val="001F1CA4"/>
    <w:rsid w:val="001F1CF3"/>
    <w:rsid w:val="001F200A"/>
    <w:rsid w:val="001F2048"/>
    <w:rsid w:val="001F2652"/>
    <w:rsid w:val="001F316B"/>
    <w:rsid w:val="001F35BC"/>
    <w:rsid w:val="001F37E0"/>
    <w:rsid w:val="001F40D0"/>
    <w:rsid w:val="001F58D7"/>
    <w:rsid w:val="00200713"/>
    <w:rsid w:val="00201B2C"/>
    <w:rsid w:val="00201EB4"/>
    <w:rsid w:val="00202A21"/>
    <w:rsid w:val="002030F2"/>
    <w:rsid w:val="00203478"/>
    <w:rsid w:val="0020398E"/>
    <w:rsid w:val="00203DB1"/>
    <w:rsid w:val="002040CB"/>
    <w:rsid w:val="002049AD"/>
    <w:rsid w:val="0020515B"/>
    <w:rsid w:val="00205511"/>
    <w:rsid w:val="00205B82"/>
    <w:rsid w:val="002065E8"/>
    <w:rsid w:val="00206732"/>
    <w:rsid w:val="00207516"/>
    <w:rsid w:val="00207D4B"/>
    <w:rsid w:val="00207FC6"/>
    <w:rsid w:val="00211657"/>
    <w:rsid w:val="002127BE"/>
    <w:rsid w:val="002128F8"/>
    <w:rsid w:val="00212D95"/>
    <w:rsid w:val="00213171"/>
    <w:rsid w:val="00213B77"/>
    <w:rsid w:val="00213FDB"/>
    <w:rsid w:val="0021435A"/>
    <w:rsid w:val="00214B15"/>
    <w:rsid w:val="00215F4F"/>
    <w:rsid w:val="00215F54"/>
    <w:rsid w:val="0021630D"/>
    <w:rsid w:val="00216EC9"/>
    <w:rsid w:val="002210CD"/>
    <w:rsid w:val="002211EA"/>
    <w:rsid w:val="00222019"/>
    <w:rsid w:val="002227F5"/>
    <w:rsid w:val="00222875"/>
    <w:rsid w:val="00223673"/>
    <w:rsid w:val="00225D50"/>
    <w:rsid w:val="002264CC"/>
    <w:rsid w:val="002273E8"/>
    <w:rsid w:val="002277BD"/>
    <w:rsid w:val="0023037E"/>
    <w:rsid w:val="00230F8C"/>
    <w:rsid w:val="002314D2"/>
    <w:rsid w:val="00231EA3"/>
    <w:rsid w:val="002327F8"/>
    <w:rsid w:val="0023286C"/>
    <w:rsid w:val="00233AEC"/>
    <w:rsid w:val="00234BD2"/>
    <w:rsid w:val="00235719"/>
    <w:rsid w:val="00236251"/>
    <w:rsid w:val="002362F2"/>
    <w:rsid w:val="00236322"/>
    <w:rsid w:val="00236457"/>
    <w:rsid w:val="0023670C"/>
    <w:rsid w:val="00236F5C"/>
    <w:rsid w:val="0023722A"/>
    <w:rsid w:val="0023757C"/>
    <w:rsid w:val="002379A0"/>
    <w:rsid w:val="00242633"/>
    <w:rsid w:val="00242DC1"/>
    <w:rsid w:val="00243FDD"/>
    <w:rsid w:val="00244078"/>
    <w:rsid w:val="002446BD"/>
    <w:rsid w:val="00245211"/>
    <w:rsid w:val="002458CC"/>
    <w:rsid w:val="00246543"/>
    <w:rsid w:val="00246EA2"/>
    <w:rsid w:val="00250074"/>
    <w:rsid w:val="002509B7"/>
    <w:rsid w:val="002511A9"/>
    <w:rsid w:val="00251AA2"/>
    <w:rsid w:val="00251F7D"/>
    <w:rsid w:val="0025228B"/>
    <w:rsid w:val="002522A6"/>
    <w:rsid w:val="00252D57"/>
    <w:rsid w:val="00252D6C"/>
    <w:rsid w:val="002533F8"/>
    <w:rsid w:val="002549E3"/>
    <w:rsid w:val="00255902"/>
    <w:rsid w:val="002563CE"/>
    <w:rsid w:val="00256721"/>
    <w:rsid w:val="00256D5B"/>
    <w:rsid w:val="002579A4"/>
    <w:rsid w:val="0026012C"/>
    <w:rsid w:val="002609E0"/>
    <w:rsid w:val="0026234F"/>
    <w:rsid w:val="002623D0"/>
    <w:rsid w:val="002626D8"/>
    <w:rsid w:val="00262A33"/>
    <w:rsid w:val="00262B1B"/>
    <w:rsid w:val="00262F5D"/>
    <w:rsid w:val="00263582"/>
    <w:rsid w:val="00263728"/>
    <w:rsid w:val="00263769"/>
    <w:rsid w:val="00263DB5"/>
    <w:rsid w:val="00263F96"/>
    <w:rsid w:val="0026410A"/>
    <w:rsid w:val="00264B34"/>
    <w:rsid w:val="00264C85"/>
    <w:rsid w:val="00266407"/>
    <w:rsid w:val="0027046D"/>
    <w:rsid w:val="002710C9"/>
    <w:rsid w:val="0027134C"/>
    <w:rsid w:val="002718C8"/>
    <w:rsid w:val="00271A0A"/>
    <w:rsid w:val="002724F3"/>
    <w:rsid w:val="00273052"/>
    <w:rsid w:val="002738EA"/>
    <w:rsid w:val="002742C5"/>
    <w:rsid w:val="002743B3"/>
    <w:rsid w:val="002755E1"/>
    <w:rsid w:val="00275669"/>
    <w:rsid w:val="00276164"/>
    <w:rsid w:val="002769CA"/>
    <w:rsid w:val="00277424"/>
    <w:rsid w:val="00277989"/>
    <w:rsid w:val="0028083B"/>
    <w:rsid w:val="00281334"/>
    <w:rsid w:val="0028223A"/>
    <w:rsid w:val="00282595"/>
    <w:rsid w:val="00283211"/>
    <w:rsid w:val="002836AE"/>
    <w:rsid w:val="00283CBD"/>
    <w:rsid w:val="0028511E"/>
    <w:rsid w:val="002859B0"/>
    <w:rsid w:val="00285F45"/>
    <w:rsid w:val="00286205"/>
    <w:rsid w:val="002868AE"/>
    <w:rsid w:val="00287DCC"/>
    <w:rsid w:val="002903EF"/>
    <w:rsid w:val="0029067B"/>
    <w:rsid w:val="002911B8"/>
    <w:rsid w:val="002912E7"/>
    <w:rsid w:val="00291B9B"/>
    <w:rsid w:val="002926A0"/>
    <w:rsid w:val="00292FD8"/>
    <w:rsid w:val="00293BC9"/>
    <w:rsid w:val="002941B5"/>
    <w:rsid w:val="0029455E"/>
    <w:rsid w:val="0029621D"/>
    <w:rsid w:val="00296BEC"/>
    <w:rsid w:val="00297C6A"/>
    <w:rsid w:val="00297D3C"/>
    <w:rsid w:val="00297E64"/>
    <w:rsid w:val="002A08A2"/>
    <w:rsid w:val="002A2158"/>
    <w:rsid w:val="002A2690"/>
    <w:rsid w:val="002A2865"/>
    <w:rsid w:val="002A2C94"/>
    <w:rsid w:val="002A2D72"/>
    <w:rsid w:val="002A32ED"/>
    <w:rsid w:val="002A3800"/>
    <w:rsid w:val="002A3A39"/>
    <w:rsid w:val="002A3CE0"/>
    <w:rsid w:val="002A40C0"/>
    <w:rsid w:val="002A50C7"/>
    <w:rsid w:val="002A5E15"/>
    <w:rsid w:val="002B039E"/>
    <w:rsid w:val="002B27A2"/>
    <w:rsid w:val="002B3F49"/>
    <w:rsid w:val="002B4097"/>
    <w:rsid w:val="002B4496"/>
    <w:rsid w:val="002B49D6"/>
    <w:rsid w:val="002B5432"/>
    <w:rsid w:val="002B69C8"/>
    <w:rsid w:val="002B6A08"/>
    <w:rsid w:val="002B6B5B"/>
    <w:rsid w:val="002B76C7"/>
    <w:rsid w:val="002C073B"/>
    <w:rsid w:val="002C08E9"/>
    <w:rsid w:val="002C0C2F"/>
    <w:rsid w:val="002C1135"/>
    <w:rsid w:val="002C1444"/>
    <w:rsid w:val="002C2107"/>
    <w:rsid w:val="002C2776"/>
    <w:rsid w:val="002C2EE4"/>
    <w:rsid w:val="002C34F8"/>
    <w:rsid w:val="002C440E"/>
    <w:rsid w:val="002C55B8"/>
    <w:rsid w:val="002C55C0"/>
    <w:rsid w:val="002C59EE"/>
    <w:rsid w:val="002C5E47"/>
    <w:rsid w:val="002C6084"/>
    <w:rsid w:val="002C608A"/>
    <w:rsid w:val="002C74CC"/>
    <w:rsid w:val="002C7A85"/>
    <w:rsid w:val="002C7D2A"/>
    <w:rsid w:val="002D044E"/>
    <w:rsid w:val="002D0B3F"/>
    <w:rsid w:val="002D1A1E"/>
    <w:rsid w:val="002D1E8D"/>
    <w:rsid w:val="002D1F3F"/>
    <w:rsid w:val="002D22BD"/>
    <w:rsid w:val="002D2A66"/>
    <w:rsid w:val="002D3ECD"/>
    <w:rsid w:val="002D3F09"/>
    <w:rsid w:val="002D5FD7"/>
    <w:rsid w:val="002D63D9"/>
    <w:rsid w:val="002D7738"/>
    <w:rsid w:val="002E01FF"/>
    <w:rsid w:val="002E0323"/>
    <w:rsid w:val="002E0761"/>
    <w:rsid w:val="002E12C6"/>
    <w:rsid w:val="002E16F9"/>
    <w:rsid w:val="002E2709"/>
    <w:rsid w:val="002E2ABA"/>
    <w:rsid w:val="002E45A0"/>
    <w:rsid w:val="002E547D"/>
    <w:rsid w:val="002E5BE7"/>
    <w:rsid w:val="002E5C71"/>
    <w:rsid w:val="002E5FAF"/>
    <w:rsid w:val="002E65A2"/>
    <w:rsid w:val="002E65AB"/>
    <w:rsid w:val="002E724D"/>
    <w:rsid w:val="002E7E57"/>
    <w:rsid w:val="002F1363"/>
    <w:rsid w:val="002F1538"/>
    <w:rsid w:val="002F1CD4"/>
    <w:rsid w:val="002F391B"/>
    <w:rsid w:val="002F3ED5"/>
    <w:rsid w:val="002F3F20"/>
    <w:rsid w:val="002F420E"/>
    <w:rsid w:val="002F4D60"/>
    <w:rsid w:val="002F4E0E"/>
    <w:rsid w:val="002F59BC"/>
    <w:rsid w:val="002F60A9"/>
    <w:rsid w:val="002F6164"/>
    <w:rsid w:val="002F6926"/>
    <w:rsid w:val="00300701"/>
    <w:rsid w:val="00300F02"/>
    <w:rsid w:val="00300FEE"/>
    <w:rsid w:val="0030294F"/>
    <w:rsid w:val="00302B60"/>
    <w:rsid w:val="00302C78"/>
    <w:rsid w:val="003032AE"/>
    <w:rsid w:val="0030346F"/>
    <w:rsid w:val="0030376E"/>
    <w:rsid w:val="00303BA8"/>
    <w:rsid w:val="00303E26"/>
    <w:rsid w:val="0030447A"/>
    <w:rsid w:val="003057C3"/>
    <w:rsid w:val="00305BCC"/>
    <w:rsid w:val="003061CB"/>
    <w:rsid w:val="00306569"/>
    <w:rsid w:val="00306662"/>
    <w:rsid w:val="003071C5"/>
    <w:rsid w:val="00307282"/>
    <w:rsid w:val="003102EF"/>
    <w:rsid w:val="003106E4"/>
    <w:rsid w:val="003108D4"/>
    <w:rsid w:val="00310D3A"/>
    <w:rsid w:val="0031151E"/>
    <w:rsid w:val="003132AF"/>
    <w:rsid w:val="003137E6"/>
    <w:rsid w:val="00313F06"/>
    <w:rsid w:val="00314C3D"/>
    <w:rsid w:val="00315759"/>
    <w:rsid w:val="00316CBB"/>
    <w:rsid w:val="00320078"/>
    <w:rsid w:val="0032240F"/>
    <w:rsid w:val="00323450"/>
    <w:rsid w:val="00323475"/>
    <w:rsid w:val="0032391B"/>
    <w:rsid w:val="003251B0"/>
    <w:rsid w:val="003264E5"/>
    <w:rsid w:val="00326B28"/>
    <w:rsid w:val="00327001"/>
    <w:rsid w:val="0032739A"/>
    <w:rsid w:val="00327CDF"/>
    <w:rsid w:val="00327EB1"/>
    <w:rsid w:val="00327F41"/>
    <w:rsid w:val="00331294"/>
    <w:rsid w:val="0033275C"/>
    <w:rsid w:val="0033295D"/>
    <w:rsid w:val="00333482"/>
    <w:rsid w:val="003339BC"/>
    <w:rsid w:val="00335256"/>
    <w:rsid w:val="003353E8"/>
    <w:rsid w:val="00335448"/>
    <w:rsid w:val="003354DA"/>
    <w:rsid w:val="00335937"/>
    <w:rsid w:val="00336069"/>
    <w:rsid w:val="00336A0C"/>
    <w:rsid w:val="00336A0D"/>
    <w:rsid w:val="00336C17"/>
    <w:rsid w:val="00337864"/>
    <w:rsid w:val="00337A05"/>
    <w:rsid w:val="003410E8"/>
    <w:rsid w:val="003417AC"/>
    <w:rsid w:val="00341CAF"/>
    <w:rsid w:val="00342685"/>
    <w:rsid w:val="003441AF"/>
    <w:rsid w:val="003446CC"/>
    <w:rsid w:val="00344AC6"/>
    <w:rsid w:val="00345C23"/>
    <w:rsid w:val="00345F6E"/>
    <w:rsid w:val="00346F0B"/>
    <w:rsid w:val="00347CBB"/>
    <w:rsid w:val="00350D37"/>
    <w:rsid w:val="00350DF7"/>
    <w:rsid w:val="00350FA6"/>
    <w:rsid w:val="003511CE"/>
    <w:rsid w:val="00351542"/>
    <w:rsid w:val="003520CE"/>
    <w:rsid w:val="00352605"/>
    <w:rsid w:val="00352812"/>
    <w:rsid w:val="003530F5"/>
    <w:rsid w:val="003537F8"/>
    <w:rsid w:val="00355043"/>
    <w:rsid w:val="0035588B"/>
    <w:rsid w:val="00356F11"/>
    <w:rsid w:val="00356F50"/>
    <w:rsid w:val="00357852"/>
    <w:rsid w:val="00357A17"/>
    <w:rsid w:val="0036042C"/>
    <w:rsid w:val="00360EEE"/>
    <w:rsid w:val="00361744"/>
    <w:rsid w:val="00361B10"/>
    <w:rsid w:val="00361DE9"/>
    <w:rsid w:val="00362897"/>
    <w:rsid w:val="003639D3"/>
    <w:rsid w:val="00364FA9"/>
    <w:rsid w:val="00366305"/>
    <w:rsid w:val="00366519"/>
    <w:rsid w:val="0036683F"/>
    <w:rsid w:val="00366F26"/>
    <w:rsid w:val="00367C3E"/>
    <w:rsid w:val="00370044"/>
    <w:rsid w:val="00370B5A"/>
    <w:rsid w:val="00370F8E"/>
    <w:rsid w:val="003716E6"/>
    <w:rsid w:val="00372DE6"/>
    <w:rsid w:val="00373124"/>
    <w:rsid w:val="0037393F"/>
    <w:rsid w:val="00373ACE"/>
    <w:rsid w:val="00374927"/>
    <w:rsid w:val="0037519E"/>
    <w:rsid w:val="0037655E"/>
    <w:rsid w:val="003768CD"/>
    <w:rsid w:val="0037775D"/>
    <w:rsid w:val="00377AD6"/>
    <w:rsid w:val="0038238F"/>
    <w:rsid w:val="00382A04"/>
    <w:rsid w:val="003842FA"/>
    <w:rsid w:val="00384E20"/>
    <w:rsid w:val="003854E8"/>
    <w:rsid w:val="00385ED0"/>
    <w:rsid w:val="0038665B"/>
    <w:rsid w:val="00386B91"/>
    <w:rsid w:val="00386DC7"/>
    <w:rsid w:val="00386EED"/>
    <w:rsid w:val="003876A0"/>
    <w:rsid w:val="00390825"/>
    <w:rsid w:val="00390A74"/>
    <w:rsid w:val="00390A96"/>
    <w:rsid w:val="00390AE8"/>
    <w:rsid w:val="003911B3"/>
    <w:rsid w:val="003919EB"/>
    <w:rsid w:val="00393690"/>
    <w:rsid w:val="00393C34"/>
    <w:rsid w:val="0039531D"/>
    <w:rsid w:val="00395EB5"/>
    <w:rsid w:val="00396E32"/>
    <w:rsid w:val="00397068"/>
    <w:rsid w:val="003979CD"/>
    <w:rsid w:val="00397F1C"/>
    <w:rsid w:val="003A0626"/>
    <w:rsid w:val="003A0980"/>
    <w:rsid w:val="003A15E9"/>
    <w:rsid w:val="003A190D"/>
    <w:rsid w:val="003A1963"/>
    <w:rsid w:val="003A1B4D"/>
    <w:rsid w:val="003A1F6C"/>
    <w:rsid w:val="003A2046"/>
    <w:rsid w:val="003A281C"/>
    <w:rsid w:val="003A2B6D"/>
    <w:rsid w:val="003A2BF9"/>
    <w:rsid w:val="003A5046"/>
    <w:rsid w:val="003A52A8"/>
    <w:rsid w:val="003A544F"/>
    <w:rsid w:val="003A5935"/>
    <w:rsid w:val="003A5B9E"/>
    <w:rsid w:val="003A6DC7"/>
    <w:rsid w:val="003B0399"/>
    <w:rsid w:val="003B1484"/>
    <w:rsid w:val="003B4928"/>
    <w:rsid w:val="003B4C4E"/>
    <w:rsid w:val="003B4D8B"/>
    <w:rsid w:val="003B5968"/>
    <w:rsid w:val="003B6611"/>
    <w:rsid w:val="003B7E5D"/>
    <w:rsid w:val="003B7E85"/>
    <w:rsid w:val="003C020A"/>
    <w:rsid w:val="003C11D0"/>
    <w:rsid w:val="003C2779"/>
    <w:rsid w:val="003C3248"/>
    <w:rsid w:val="003C4AB5"/>
    <w:rsid w:val="003C4F9A"/>
    <w:rsid w:val="003C500D"/>
    <w:rsid w:val="003C64E5"/>
    <w:rsid w:val="003C7435"/>
    <w:rsid w:val="003C7802"/>
    <w:rsid w:val="003D038C"/>
    <w:rsid w:val="003D0ED1"/>
    <w:rsid w:val="003D148B"/>
    <w:rsid w:val="003D1801"/>
    <w:rsid w:val="003D1E94"/>
    <w:rsid w:val="003D21EB"/>
    <w:rsid w:val="003D316C"/>
    <w:rsid w:val="003D382D"/>
    <w:rsid w:val="003D3BDD"/>
    <w:rsid w:val="003D3E13"/>
    <w:rsid w:val="003D41E4"/>
    <w:rsid w:val="003D43C4"/>
    <w:rsid w:val="003D4981"/>
    <w:rsid w:val="003D4F2D"/>
    <w:rsid w:val="003D4FB0"/>
    <w:rsid w:val="003E0E47"/>
    <w:rsid w:val="003E10EE"/>
    <w:rsid w:val="003E1144"/>
    <w:rsid w:val="003E1570"/>
    <w:rsid w:val="003E3805"/>
    <w:rsid w:val="003E3A4A"/>
    <w:rsid w:val="003E3B61"/>
    <w:rsid w:val="003E5160"/>
    <w:rsid w:val="003E5673"/>
    <w:rsid w:val="003E5EE2"/>
    <w:rsid w:val="003E6636"/>
    <w:rsid w:val="003E7272"/>
    <w:rsid w:val="003E7EE3"/>
    <w:rsid w:val="003F06BF"/>
    <w:rsid w:val="003F1C32"/>
    <w:rsid w:val="003F3116"/>
    <w:rsid w:val="003F3641"/>
    <w:rsid w:val="003F3F36"/>
    <w:rsid w:val="003F47DE"/>
    <w:rsid w:val="003F49D6"/>
    <w:rsid w:val="003F4D90"/>
    <w:rsid w:val="003F4EA7"/>
    <w:rsid w:val="003F502C"/>
    <w:rsid w:val="003F58D5"/>
    <w:rsid w:val="0040010A"/>
    <w:rsid w:val="00400CD3"/>
    <w:rsid w:val="0040130C"/>
    <w:rsid w:val="0040168F"/>
    <w:rsid w:val="00401FD5"/>
    <w:rsid w:val="0040314A"/>
    <w:rsid w:val="0040357D"/>
    <w:rsid w:val="004037FF"/>
    <w:rsid w:val="0040384B"/>
    <w:rsid w:val="00404747"/>
    <w:rsid w:val="00405AC9"/>
    <w:rsid w:val="00405F3B"/>
    <w:rsid w:val="00406F10"/>
    <w:rsid w:val="004075C3"/>
    <w:rsid w:val="00407A76"/>
    <w:rsid w:val="00407BA1"/>
    <w:rsid w:val="004118CD"/>
    <w:rsid w:val="00411AD2"/>
    <w:rsid w:val="0041226E"/>
    <w:rsid w:val="0041262D"/>
    <w:rsid w:val="0041293B"/>
    <w:rsid w:val="00412D85"/>
    <w:rsid w:val="00413571"/>
    <w:rsid w:val="00413672"/>
    <w:rsid w:val="00414A52"/>
    <w:rsid w:val="004160B0"/>
    <w:rsid w:val="0041740B"/>
    <w:rsid w:val="00417CDF"/>
    <w:rsid w:val="00417FDF"/>
    <w:rsid w:val="00420639"/>
    <w:rsid w:val="0042090C"/>
    <w:rsid w:val="00420F4A"/>
    <w:rsid w:val="00421FB1"/>
    <w:rsid w:val="00422047"/>
    <w:rsid w:val="004225E6"/>
    <w:rsid w:val="00422C88"/>
    <w:rsid w:val="00422D14"/>
    <w:rsid w:val="00423469"/>
    <w:rsid w:val="00423498"/>
    <w:rsid w:val="004238F1"/>
    <w:rsid w:val="00423A6D"/>
    <w:rsid w:val="00424335"/>
    <w:rsid w:val="00424E70"/>
    <w:rsid w:val="004250AE"/>
    <w:rsid w:val="0042597E"/>
    <w:rsid w:val="0042660E"/>
    <w:rsid w:val="00426AE3"/>
    <w:rsid w:val="004271EF"/>
    <w:rsid w:val="0042740B"/>
    <w:rsid w:val="00427FBD"/>
    <w:rsid w:val="004308E8"/>
    <w:rsid w:val="00430ACE"/>
    <w:rsid w:val="0043126F"/>
    <w:rsid w:val="00431D69"/>
    <w:rsid w:val="004330A2"/>
    <w:rsid w:val="0043350D"/>
    <w:rsid w:val="0043391A"/>
    <w:rsid w:val="00433E69"/>
    <w:rsid w:val="004351F7"/>
    <w:rsid w:val="00435571"/>
    <w:rsid w:val="00435AD7"/>
    <w:rsid w:val="00436A35"/>
    <w:rsid w:val="00437221"/>
    <w:rsid w:val="00437EFB"/>
    <w:rsid w:val="00441AC1"/>
    <w:rsid w:val="004426A9"/>
    <w:rsid w:val="00444CB9"/>
    <w:rsid w:val="004455E4"/>
    <w:rsid w:val="00446332"/>
    <w:rsid w:val="0044635E"/>
    <w:rsid w:val="0044641B"/>
    <w:rsid w:val="00446E65"/>
    <w:rsid w:val="00446EFF"/>
    <w:rsid w:val="004471DF"/>
    <w:rsid w:val="004476A2"/>
    <w:rsid w:val="00450CE8"/>
    <w:rsid w:val="00450F3E"/>
    <w:rsid w:val="00451717"/>
    <w:rsid w:val="00451B66"/>
    <w:rsid w:val="00451BFB"/>
    <w:rsid w:val="0045208A"/>
    <w:rsid w:val="00452E3E"/>
    <w:rsid w:val="0045307A"/>
    <w:rsid w:val="00453E39"/>
    <w:rsid w:val="00454471"/>
    <w:rsid w:val="00454A7B"/>
    <w:rsid w:val="004561B5"/>
    <w:rsid w:val="00456348"/>
    <w:rsid w:val="00457C2B"/>
    <w:rsid w:val="00461A39"/>
    <w:rsid w:val="00462921"/>
    <w:rsid w:val="00464171"/>
    <w:rsid w:val="0046595F"/>
    <w:rsid w:val="00466C26"/>
    <w:rsid w:val="004675D0"/>
    <w:rsid w:val="00467C82"/>
    <w:rsid w:val="00470D77"/>
    <w:rsid w:val="0047184A"/>
    <w:rsid w:val="00472253"/>
    <w:rsid w:val="00473151"/>
    <w:rsid w:val="004739A3"/>
    <w:rsid w:val="004747C4"/>
    <w:rsid w:val="00474ADE"/>
    <w:rsid w:val="00474E3E"/>
    <w:rsid w:val="00475201"/>
    <w:rsid w:val="004758A6"/>
    <w:rsid w:val="00475C94"/>
    <w:rsid w:val="00475D1E"/>
    <w:rsid w:val="00476214"/>
    <w:rsid w:val="004764A8"/>
    <w:rsid w:val="00477243"/>
    <w:rsid w:val="00477359"/>
    <w:rsid w:val="00477989"/>
    <w:rsid w:val="00480225"/>
    <w:rsid w:val="0048028C"/>
    <w:rsid w:val="004804A9"/>
    <w:rsid w:val="0048090C"/>
    <w:rsid w:val="00480E18"/>
    <w:rsid w:val="00481A35"/>
    <w:rsid w:val="00482172"/>
    <w:rsid w:val="00482BB5"/>
    <w:rsid w:val="0048317D"/>
    <w:rsid w:val="0048377C"/>
    <w:rsid w:val="004851A9"/>
    <w:rsid w:val="00485857"/>
    <w:rsid w:val="00485B00"/>
    <w:rsid w:val="00486D0C"/>
    <w:rsid w:val="004876DD"/>
    <w:rsid w:val="00490BD6"/>
    <w:rsid w:val="00491CF0"/>
    <w:rsid w:val="00493B47"/>
    <w:rsid w:val="004942C6"/>
    <w:rsid w:val="004944D1"/>
    <w:rsid w:val="00496091"/>
    <w:rsid w:val="00496525"/>
    <w:rsid w:val="00496684"/>
    <w:rsid w:val="00496AE2"/>
    <w:rsid w:val="00496CB6"/>
    <w:rsid w:val="00496D08"/>
    <w:rsid w:val="0049742C"/>
    <w:rsid w:val="0049742E"/>
    <w:rsid w:val="004A131B"/>
    <w:rsid w:val="004A15F0"/>
    <w:rsid w:val="004A186D"/>
    <w:rsid w:val="004A1BF5"/>
    <w:rsid w:val="004A2814"/>
    <w:rsid w:val="004A3B13"/>
    <w:rsid w:val="004A43C7"/>
    <w:rsid w:val="004A44F1"/>
    <w:rsid w:val="004A4A1A"/>
    <w:rsid w:val="004A5827"/>
    <w:rsid w:val="004A7DEA"/>
    <w:rsid w:val="004A7EBF"/>
    <w:rsid w:val="004B07A1"/>
    <w:rsid w:val="004B0BF0"/>
    <w:rsid w:val="004B1BC3"/>
    <w:rsid w:val="004B1FC2"/>
    <w:rsid w:val="004B246B"/>
    <w:rsid w:val="004B2BAE"/>
    <w:rsid w:val="004B38D8"/>
    <w:rsid w:val="004B3E9E"/>
    <w:rsid w:val="004B48DE"/>
    <w:rsid w:val="004B4D64"/>
    <w:rsid w:val="004B4DCC"/>
    <w:rsid w:val="004B4F78"/>
    <w:rsid w:val="004B5894"/>
    <w:rsid w:val="004B5C51"/>
    <w:rsid w:val="004B5CD2"/>
    <w:rsid w:val="004B6960"/>
    <w:rsid w:val="004B750D"/>
    <w:rsid w:val="004B786B"/>
    <w:rsid w:val="004C15B9"/>
    <w:rsid w:val="004C1C7E"/>
    <w:rsid w:val="004C1D48"/>
    <w:rsid w:val="004C1E48"/>
    <w:rsid w:val="004C2AC7"/>
    <w:rsid w:val="004C2B15"/>
    <w:rsid w:val="004C4148"/>
    <w:rsid w:val="004C52BF"/>
    <w:rsid w:val="004C7D98"/>
    <w:rsid w:val="004D040F"/>
    <w:rsid w:val="004D10E9"/>
    <w:rsid w:val="004D164D"/>
    <w:rsid w:val="004D2534"/>
    <w:rsid w:val="004D31CF"/>
    <w:rsid w:val="004D32CA"/>
    <w:rsid w:val="004D3AD5"/>
    <w:rsid w:val="004D4BE0"/>
    <w:rsid w:val="004D5474"/>
    <w:rsid w:val="004D5853"/>
    <w:rsid w:val="004D5F61"/>
    <w:rsid w:val="004E0636"/>
    <w:rsid w:val="004E08E7"/>
    <w:rsid w:val="004E0B24"/>
    <w:rsid w:val="004E0CD2"/>
    <w:rsid w:val="004E0D8F"/>
    <w:rsid w:val="004E17AF"/>
    <w:rsid w:val="004E1F0F"/>
    <w:rsid w:val="004E2E8C"/>
    <w:rsid w:val="004E3149"/>
    <w:rsid w:val="004E4183"/>
    <w:rsid w:val="004E4209"/>
    <w:rsid w:val="004E4A61"/>
    <w:rsid w:val="004E61A9"/>
    <w:rsid w:val="004E6240"/>
    <w:rsid w:val="004E65A4"/>
    <w:rsid w:val="004E6BFA"/>
    <w:rsid w:val="004E7928"/>
    <w:rsid w:val="004E7CEC"/>
    <w:rsid w:val="004F22C5"/>
    <w:rsid w:val="004F3008"/>
    <w:rsid w:val="004F376F"/>
    <w:rsid w:val="004F402C"/>
    <w:rsid w:val="004F411A"/>
    <w:rsid w:val="004F460B"/>
    <w:rsid w:val="004F46B9"/>
    <w:rsid w:val="004F4A77"/>
    <w:rsid w:val="004F4CC1"/>
    <w:rsid w:val="004F652A"/>
    <w:rsid w:val="004F6740"/>
    <w:rsid w:val="0050020E"/>
    <w:rsid w:val="005007CC"/>
    <w:rsid w:val="00501499"/>
    <w:rsid w:val="00501D17"/>
    <w:rsid w:val="00501E9C"/>
    <w:rsid w:val="00502556"/>
    <w:rsid w:val="005026A5"/>
    <w:rsid w:val="00502CBB"/>
    <w:rsid w:val="00502F5A"/>
    <w:rsid w:val="00503251"/>
    <w:rsid w:val="0050339E"/>
    <w:rsid w:val="00503B12"/>
    <w:rsid w:val="00504A37"/>
    <w:rsid w:val="0050500E"/>
    <w:rsid w:val="00505259"/>
    <w:rsid w:val="0050651F"/>
    <w:rsid w:val="00506E60"/>
    <w:rsid w:val="005079CC"/>
    <w:rsid w:val="00510086"/>
    <w:rsid w:val="00511B78"/>
    <w:rsid w:val="00511C8D"/>
    <w:rsid w:val="00513596"/>
    <w:rsid w:val="005136EA"/>
    <w:rsid w:val="00514528"/>
    <w:rsid w:val="00514822"/>
    <w:rsid w:val="00514A1E"/>
    <w:rsid w:val="005156A4"/>
    <w:rsid w:val="0051720E"/>
    <w:rsid w:val="005179B5"/>
    <w:rsid w:val="00520FCA"/>
    <w:rsid w:val="00521315"/>
    <w:rsid w:val="00521F0B"/>
    <w:rsid w:val="0052215B"/>
    <w:rsid w:val="00522C1C"/>
    <w:rsid w:val="00523909"/>
    <w:rsid w:val="00523F75"/>
    <w:rsid w:val="005241D4"/>
    <w:rsid w:val="005242C7"/>
    <w:rsid w:val="005244D2"/>
    <w:rsid w:val="00525F66"/>
    <w:rsid w:val="0052639C"/>
    <w:rsid w:val="00526A0B"/>
    <w:rsid w:val="00526CFE"/>
    <w:rsid w:val="00526E2B"/>
    <w:rsid w:val="005273D8"/>
    <w:rsid w:val="00527F60"/>
    <w:rsid w:val="00530138"/>
    <w:rsid w:val="00530645"/>
    <w:rsid w:val="005310D3"/>
    <w:rsid w:val="0053145C"/>
    <w:rsid w:val="0053188F"/>
    <w:rsid w:val="00531EB1"/>
    <w:rsid w:val="00532E69"/>
    <w:rsid w:val="00532EC3"/>
    <w:rsid w:val="005344DE"/>
    <w:rsid w:val="00534B5C"/>
    <w:rsid w:val="00534DF8"/>
    <w:rsid w:val="00535020"/>
    <w:rsid w:val="005350A0"/>
    <w:rsid w:val="00536264"/>
    <w:rsid w:val="0053651E"/>
    <w:rsid w:val="0054005D"/>
    <w:rsid w:val="00540624"/>
    <w:rsid w:val="005416C2"/>
    <w:rsid w:val="00541E98"/>
    <w:rsid w:val="0054241E"/>
    <w:rsid w:val="005424EC"/>
    <w:rsid w:val="00544B9A"/>
    <w:rsid w:val="00545759"/>
    <w:rsid w:val="00547B02"/>
    <w:rsid w:val="005506C4"/>
    <w:rsid w:val="00550A37"/>
    <w:rsid w:val="0055335D"/>
    <w:rsid w:val="00553C9A"/>
    <w:rsid w:val="00554418"/>
    <w:rsid w:val="00554D4B"/>
    <w:rsid w:val="005553CA"/>
    <w:rsid w:val="0055565F"/>
    <w:rsid w:val="00555A1F"/>
    <w:rsid w:val="00555FD7"/>
    <w:rsid w:val="00556278"/>
    <w:rsid w:val="005562C7"/>
    <w:rsid w:val="00557846"/>
    <w:rsid w:val="005601F8"/>
    <w:rsid w:val="00560A99"/>
    <w:rsid w:val="00561736"/>
    <w:rsid w:val="00562158"/>
    <w:rsid w:val="005632B3"/>
    <w:rsid w:val="005632FC"/>
    <w:rsid w:val="005633D5"/>
    <w:rsid w:val="00564701"/>
    <w:rsid w:val="00564E66"/>
    <w:rsid w:val="00566B6A"/>
    <w:rsid w:val="00566E4C"/>
    <w:rsid w:val="0056749F"/>
    <w:rsid w:val="00567536"/>
    <w:rsid w:val="00570B7E"/>
    <w:rsid w:val="00571913"/>
    <w:rsid w:val="00573146"/>
    <w:rsid w:val="005743AA"/>
    <w:rsid w:val="00576A85"/>
    <w:rsid w:val="00576C09"/>
    <w:rsid w:val="005771DA"/>
    <w:rsid w:val="005776F3"/>
    <w:rsid w:val="0058141D"/>
    <w:rsid w:val="00581814"/>
    <w:rsid w:val="00582830"/>
    <w:rsid w:val="00583548"/>
    <w:rsid w:val="00583985"/>
    <w:rsid w:val="00583F20"/>
    <w:rsid w:val="00584A0D"/>
    <w:rsid w:val="00584CFA"/>
    <w:rsid w:val="00585C06"/>
    <w:rsid w:val="005860D7"/>
    <w:rsid w:val="0058632C"/>
    <w:rsid w:val="00587A05"/>
    <w:rsid w:val="00590516"/>
    <w:rsid w:val="00590601"/>
    <w:rsid w:val="00590A15"/>
    <w:rsid w:val="00591077"/>
    <w:rsid w:val="0059223E"/>
    <w:rsid w:val="005923AC"/>
    <w:rsid w:val="00592AE6"/>
    <w:rsid w:val="00592D5F"/>
    <w:rsid w:val="00593A45"/>
    <w:rsid w:val="00593B09"/>
    <w:rsid w:val="00594B6B"/>
    <w:rsid w:val="00595650"/>
    <w:rsid w:val="00595DD1"/>
    <w:rsid w:val="0059675F"/>
    <w:rsid w:val="00597388"/>
    <w:rsid w:val="005A0704"/>
    <w:rsid w:val="005A0D78"/>
    <w:rsid w:val="005A1218"/>
    <w:rsid w:val="005A3C8A"/>
    <w:rsid w:val="005A4C06"/>
    <w:rsid w:val="005A4F0C"/>
    <w:rsid w:val="005A5073"/>
    <w:rsid w:val="005A50BB"/>
    <w:rsid w:val="005A567C"/>
    <w:rsid w:val="005A5930"/>
    <w:rsid w:val="005A6934"/>
    <w:rsid w:val="005A6E9F"/>
    <w:rsid w:val="005A76B1"/>
    <w:rsid w:val="005B021B"/>
    <w:rsid w:val="005B0234"/>
    <w:rsid w:val="005B052E"/>
    <w:rsid w:val="005B082D"/>
    <w:rsid w:val="005B13F5"/>
    <w:rsid w:val="005B307E"/>
    <w:rsid w:val="005B3541"/>
    <w:rsid w:val="005B3E03"/>
    <w:rsid w:val="005B4448"/>
    <w:rsid w:val="005B48BC"/>
    <w:rsid w:val="005B605F"/>
    <w:rsid w:val="005B66DF"/>
    <w:rsid w:val="005B6B2D"/>
    <w:rsid w:val="005B7F6E"/>
    <w:rsid w:val="005B7FC6"/>
    <w:rsid w:val="005C10D8"/>
    <w:rsid w:val="005C1D64"/>
    <w:rsid w:val="005C1FAE"/>
    <w:rsid w:val="005C2210"/>
    <w:rsid w:val="005C2308"/>
    <w:rsid w:val="005C286D"/>
    <w:rsid w:val="005C3AE4"/>
    <w:rsid w:val="005C3F0D"/>
    <w:rsid w:val="005C460D"/>
    <w:rsid w:val="005C54CB"/>
    <w:rsid w:val="005C5D91"/>
    <w:rsid w:val="005C5F59"/>
    <w:rsid w:val="005C609A"/>
    <w:rsid w:val="005D0740"/>
    <w:rsid w:val="005D0CD8"/>
    <w:rsid w:val="005D2BFB"/>
    <w:rsid w:val="005D2CE9"/>
    <w:rsid w:val="005D3D19"/>
    <w:rsid w:val="005D4159"/>
    <w:rsid w:val="005D4704"/>
    <w:rsid w:val="005D542F"/>
    <w:rsid w:val="005D6094"/>
    <w:rsid w:val="005D6D29"/>
    <w:rsid w:val="005D755B"/>
    <w:rsid w:val="005E05D6"/>
    <w:rsid w:val="005E126D"/>
    <w:rsid w:val="005E1C31"/>
    <w:rsid w:val="005E1FA0"/>
    <w:rsid w:val="005E30C0"/>
    <w:rsid w:val="005E537A"/>
    <w:rsid w:val="005E5EB5"/>
    <w:rsid w:val="005E6215"/>
    <w:rsid w:val="005E6345"/>
    <w:rsid w:val="005E6835"/>
    <w:rsid w:val="005E6953"/>
    <w:rsid w:val="005E6D2C"/>
    <w:rsid w:val="005E6F1D"/>
    <w:rsid w:val="005E756A"/>
    <w:rsid w:val="005E7B7C"/>
    <w:rsid w:val="005F0278"/>
    <w:rsid w:val="005F0B46"/>
    <w:rsid w:val="005F1E62"/>
    <w:rsid w:val="005F2A6E"/>
    <w:rsid w:val="005F3958"/>
    <w:rsid w:val="005F4321"/>
    <w:rsid w:val="005F4E18"/>
    <w:rsid w:val="005F5016"/>
    <w:rsid w:val="005F5449"/>
    <w:rsid w:val="005F6920"/>
    <w:rsid w:val="005F7183"/>
    <w:rsid w:val="006013B0"/>
    <w:rsid w:val="006013BF"/>
    <w:rsid w:val="00601977"/>
    <w:rsid w:val="00601C0A"/>
    <w:rsid w:val="006036A3"/>
    <w:rsid w:val="0060457E"/>
    <w:rsid w:val="00605029"/>
    <w:rsid w:val="00605E9D"/>
    <w:rsid w:val="00607156"/>
    <w:rsid w:val="006111E2"/>
    <w:rsid w:val="0061235D"/>
    <w:rsid w:val="00613454"/>
    <w:rsid w:val="006136A9"/>
    <w:rsid w:val="006160AA"/>
    <w:rsid w:val="006200A2"/>
    <w:rsid w:val="00620CC3"/>
    <w:rsid w:val="00621B70"/>
    <w:rsid w:val="00622417"/>
    <w:rsid w:val="00625164"/>
    <w:rsid w:val="006256A0"/>
    <w:rsid w:val="006263BA"/>
    <w:rsid w:val="00626E39"/>
    <w:rsid w:val="00626F89"/>
    <w:rsid w:val="006273E9"/>
    <w:rsid w:val="00627BDB"/>
    <w:rsid w:val="0063034B"/>
    <w:rsid w:val="006308E3"/>
    <w:rsid w:val="00632F44"/>
    <w:rsid w:val="00632F4C"/>
    <w:rsid w:val="006330C6"/>
    <w:rsid w:val="0063320A"/>
    <w:rsid w:val="00633549"/>
    <w:rsid w:val="006350FF"/>
    <w:rsid w:val="0063562C"/>
    <w:rsid w:val="00637708"/>
    <w:rsid w:val="00641F9C"/>
    <w:rsid w:val="00641FDD"/>
    <w:rsid w:val="006421DF"/>
    <w:rsid w:val="00643274"/>
    <w:rsid w:val="00643403"/>
    <w:rsid w:val="0064382D"/>
    <w:rsid w:val="0064481C"/>
    <w:rsid w:val="00644C2A"/>
    <w:rsid w:val="0064592E"/>
    <w:rsid w:val="00645ABA"/>
    <w:rsid w:val="00646A2F"/>
    <w:rsid w:val="00646E26"/>
    <w:rsid w:val="00647E14"/>
    <w:rsid w:val="00647F32"/>
    <w:rsid w:val="00651C0A"/>
    <w:rsid w:val="00651FA3"/>
    <w:rsid w:val="00652557"/>
    <w:rsid w:val="0065279F"/>
    <w:rsid w:val="006532B1"/>
    <w:rsid w:val="00654616"/>
    <w:rsid w:val="00654966"/>
    <w:rsid w:val="00654B3F"/>
    <w:rsid w:val="006564AD"/>
    <w:rsid w:val="00656F53"/>
    <w:rsid w:val="006604F7"/>
    <w:rsid w:val="00660EDE"/>
    <w:rsid w:val="00661295"/>
    <w:rsid w:val="00661FE3"/>
    <w:rsid w:val="00662237"/>
    <w:rsid w:val="006628CA"/>
    <w:rsid w:val="006632FA"/>
    <w:rsid w:val="00663BF9"/>
    <w:rsid w:val="0066411F"/>
    <w:rsid w:val="00664535"/>
    <w:rsid w:val="00664E6A"/>
    <w:rsid w:val="0066511D"/>
    <w:rsid w:val="0066571F"/>
    <w:rsid w:val="00666EF0"/>
    <w:rsid w:val="00667220"/>
    <w:rsid w:val="0067065F"/>
    <w:rsid w:val="00671632"/>
    <w:rsid w:val="00671740"/>
    <w:rsid w:val="006723B5"/>
    <w:rsid w:val="00672EE3"/>
    <w:rsid w:val="006733B4"/>
    <w:rsid w:val="00673710"/>
    <w:rsid w:val="00673C76"/>
    <w:rsid w:val="0067425F"/>
    <w:rsid w:val="00674D25"/>
    <w:rsid w:val="006750C1"/>
    <w:rsid w:val="00675690"/>
    <w:rsid w:val="00675C81"/>
    <w:rsid w:val="00676183"/>
    <w:rsid w:val="00676471"/>
    <w:rsid w:val="00677320"/>
    <w:rsid w:val="006776AF"/>
    <w:rsid w:val="00677DE4"/>
    <w:rsid w:val="0068174B"/>
    <w:rsid w:val="0068319A"/>
    <w:rsid w:val="0068335B"/>
    <w:rsid w:val="00684722"/>
    <w:rsid w:val="0068480B"/>
    <w:rsid w:val="00684D04"/>
    <w:rsid w:val="0068629E"/>
    <w:rsid w:val="00686780"/>
    <w:rsid w:val="006868A6"/>
    <w:rsid w:val="006871DB"/>
    <w:rsid w:val="006876D1"/>
    <w:rsid w:val="00687823"/>
    <w:rsid w:val="00690317"/>
    <w:rsid w:val="00690C05"/>
    <w:rsid w:val="0069176B"/>
    <w:rsid w:val="006921B9"/>
    <w:rsid w:val="00693017"/>
    <w:rsid w:val="006933A4"/>
    <w:rsid w:val="00694903"/>
    <w:rsid w:val="00694A93"/>
    <w:rsid w:val="00694B65"/>
    <w:rsid w:val="00694C41"/>
    <w:rsid w:val="00695791"/>
    <w:rsid w:val="006959FF"/>
    <w:rsid w:val="00696027"/>
    <w:rsid w:val="006967A8"/>
    <w:rsid w:val="00697D38"/>
    <w:rsid w:val="006A0529"/>
    <w:rsid w:val="006A0F59"/>
    <w:rsid w:val="006A18DE"/>
    <w:rsid w:val="006A387E"/>
    <w:rsid w:val="006A4069"/>
    <w:rsid w:val="006A5089"/>
    <w:rsid w:val="006A5499"/>
    <w:rsid w:val="006A5921"/>
    <w:rsid w:val="006A637B"/>
    <w:rsid w:val="006A6497"/>
    <w:rsid w:val="006A6753"/>
    <w:rsid w:val="006A6857"/>
    <w:rsid w:val="006A693E"/>
    <w:rsid w:val="006A715C"/>
    <w:rsid w:val="006A7E9D"/>
    <w:rsid w:val="006B0191"/>
    <w:rsid w:val="006B0622"/>
    <w:rsid w:val="006B081D"/>
    <w:rsid w:val="006B0A52"/>
    <w:rsid w:val="006B1241"/>
    <w:rsid w:val="006B14B3"/>
    <w:rsid w:val="006B174D"/>
    <w:rsid w:val="006B1A31"/>
    <w:rsid w:val="006B1BF2"/>
    <w:rsid w:val="006B35F5"/>
    <w:rsid w:val="006B44FB"/>
    <w:rsid w:val="006B4892"/>
    <w:rsid w:val="006B4CB5"/>
    <w:rsid w:val="006B5392"/>
    <w:rsid w:val="006B78FE"/>
    <w:rsid w:val="006B7926"/>
    <w:rsid w:val="006C0E91"/>
    <w:rsid w:val="006C11E3"/>
    <w:rsid w:val="006C1807"/>
    <w:rsid w:val="006C1C89"/>
    <w:rsid w:val="006C2241"/>
    <w:rsid w:val="006C2655"/>
    <w:rsid w:val="006C2E9E"/>
    <w:rsid w:val="006C2FDC"/>
    <w:rsid w:val="006C4265"/>
    <w:rsid w:val="006C488A"/>
    <w:rsid w:val="006C5668"/>
    <w:rsid w:val="006C5ABE"/>
    <w:rsid w:val="006C63D1"/>
    <w:rsid w:val="006C6C3B"/>
    <w:rsid w:val="006C6DDD"/>
    <w:rsid w:val="006C6E4A"/>
    <w:rsid w:val="006D000B"/>
    <w:rsid w:val="006D1349"/>
    <w:rsid w:val="006D1588"/>
    <w:rsid w:val="006D1ABC"/>
    <w:rsid w:val="006D1B89"/>
    <w:rsid w:val="006D48A5"/>
    <w:rsid w:val="006D56AB"/>
    <w:rsid w:val="006D56AF"/>
    <w:rsid w:val="006D714D"/>
    <w:rsid w:val="006E11E6"/>
    <w:rsid w:val="006E14C5"/>
    <w:rsid w:val="006E174A"/>
    <w:rsid w:val="006E212F"/>
    <w:rsid w:val="006E35F5"/>
    <w:rsid w:val="006E4017"/>
    <w:rsid w:val="006E43A3"/>
    <w:rsid w:val="006E44E0"/>
    <w:rsid w:val="006E51D6"/>
    <w:rsid w:val="006E585E"/>
    <w:rsid w:val="006E587E"/>
    <w:rsid w:val="006E6258"/>
    <w:rsid w:val="006E6317"/>
    <w:rsid w:val="006E6872"/>
    <w:rsid w:val="006E71A2"/>
    <w:rsid w:val="006E73DE"/>
    <w:rsid w:val="006E77F3"/>
    <w:rsid w:val="006E7A90"/>
    <w:rsid w:val="006F0A6B"/>
    <w:rsid w:val="006F494B"/>
    <w:rsid w:val="006F51B4"/>
    <w:rsid w:val="006F5962"/>
    <w:rsid w:val="006F60C9"/>
    <w:rsid w:val="006F625E"/>
    <w:rsid w:val="006F650C"/>
    <w:rsid w:val="00700E36"/>
    <w:rsid w:val="00701039"/>
    <w:rsid w:val="00701130"/>
    <w:rsid w:val="00701273"/>
    <w:rsid w:val="007013C2"/>
    <w:rsid w:val="0070207C"/>
    <w:rsid w:val="007031F3"/>
    <w:rsid w:val="0070519F"/>
    <w:rsid w:val="00705E59"/>
    <w:rsid w:val="0070745D"/>
    <w:rsid w:val="00707AC2"/>
    <w:rsid w:val="00707D0B"/>
    <w:rsid w:val="00707EFB"/>
    <w:rsid w:val="007105C9"/>
    <w:rsid w:val="0071285E"/>
    <w:rsid w:val="00712998"/>
    <w:rsid w:val="0071301E"/>
    <w:rsid w:val="0071323D"/>
    <w:rsid w:val="007132A7"/>
    <w:rsid w:val="00713A83"/>
    <w:rsid w:val="007143A0"/>
    <w:rsid w:val="00714BC6"/>
    <w:rsid w:val="00714EA3"/>
    <w:rsid w:val="00714FE3"/>
    <w:rsid w:val="0071630D"/>
    <w:rsid w:val="00716D4D"/>
    <w:rsid w:val="00716E5B"/>
    <w:rsid w:val="0071729B"/>
    <w:rsid w:val="00717A4A"/>
    <w:rsid w:val="00717A72"/>
    <w:rsid w:val="00720C65"/>
    <w:rsid w:val="00721A53"/>
    <w:rsid w:val="007220F5"/>
    <w:rsid w:val="00722B49"/>
    <w:rsid w:val="00723334"/>
    <w:rsid w:val="00723741"/>
    <w:rsid w:val="00724B7C"/>
    <w:rsid w:val="007252F7"/>
    <w:rsid w:val="007259D2"/>
    <w:rsid w:val="007273D0"/>
    <w:rsid w:val="00727BF9"/>
    <w:rsid w:val="007309EB"/>
    <w:rsid w:val="00731932"/>
    <w:rsid w:val="0073273A"/>
    <w:rsid w:val="00732995"/>
    <w:rsid w:val="00733074"/>
    <w:rsid w:val="00733D2B"/>
    <w:rsid w:val="00734980"/>
    <w:rsid w:val="00734C54"/>
    <w:rsid w:val="00734EAB"/>
    <w:rsid w:val="007358A7"/>
    <w:rsid w:val="007358C5"/>
    <w:rsid w:val="007367E8"/>
    <w:rsid w:val="007369F5"/>
    <w:rsid w:val="00741207"/>
    <w:rsid w:val="00741489"/>
    <w:rsid w:val="007424E2"/>
    <w:rsid w:val="00742B62"/>
    <w:rsid w:val="00743665"/>
    <w:rsid w:val="00743886"/>
    <w:rsid w:val="00743CD0"/>
    <w:rsid w:val="00744AF8"/>
    <w:rsid w:val="00744C1F"/>
    <w:rsid w:val="0074503F"/>
    <w:rsid w:val="007470AA"/>
    <w:rsid w:val="0074793A"/>
    <w:rsid w:val="00747CD0"/>
    <w:rsid w:val="007507D2"/>
    <w:rsid w:val="00750FEE"/>
    <w:rsid w:val="007511AF"/>
    <w:rsid w:val="00751691"/>
    <w:rsid w:val="00751970"/>
    <w:rsid w:val="00752202"/>
    <w:rsid w:val="00752838"/>
    <w:rsid w:val="00752A0F"/>
    <w:rsid w:val="0075464A"/>
    <w:rsid w:val="00754D9D"/>
    <w:rsid w:val="00755A2F"/>
    <w:rsid w:val="00761B35"/>
    <w:rsid w:val="00761BEF"/>
    <w:rsid w:val="00762BED"/>
    <w:rsid w:val="00762E28"/>
    <w:rsid w:val="007636A3"/>
    <w:rsid w:val="0076401B"/>
    <w:rsid w:val="007659E2"/>
    <w:rsid w:val="00765FE7"/>
    <w:rsid w:val="00766885"/>
    <w:rsid w:val="0076714C"/>
    <w:rsid w:val="00767AF9"/>
    <w:rsid w:val="00770194"/>
    <w:rsid w:val="00770418"/>
    <w:rsid w:val="007704C3"/>
    <w:rsid w:val="00770846"/>
    <w:rsid w:val="00770DD4"/>
    <w:rsid w:val="00770FB3"/>
    <w:rsid w:val="00771BDF"/>
    <w:rsid w:val="00771FED"/>
    <w:rsid w:val="007722D5"/>
    <w:rsid w:val="00772BB7"/>
    <w:rsid w:val="00775099"/>
    <w:rsid w:val="0077561B"/>
    <w:rsid w:val="00776AFC"/>
    <w:rsid w:val="00777627"/>
    <w:rsid w:val="0078018E"/>
    <w:rsid w:val="00781532"/>
    <w:rsid w:val="00781AB5"/>
    <w:rsid w:val="00783657"/>
    <w:rsid w:val="00784045"/>
    <w:rsid w:val="0078417B"/>
    <w:rsid w:val="00784427"/>
    <w:rsid w:val="00784955"/>
    <w:rsid w:val="00784C24"/>
    <w:rsid w:val="00784F91"/>
    <w:rsid w:val="00785721"/>
    <w:rsid w:val="00785A18"/>
    <w:rsid w:val="00786F74"/>
    <w:rsid w:val="00786FD6"/>
    <w:rsid w:val="007874EB"/>
    <w:rsid w:val="0079019C"/>
    <w:rsid w:val="00790E75"/>
    <w:rsid w:val="007912BC"/>
    <w:rsid w:val="007918EC"/>
    <w:rsid w:val="00791D7B"/>
    <w:rsid w:val="00791DD4"/>
    <w:rsid w:val="00792E4E"/>
    <w:rsid w:val="007963E6"/>
    <w:rsid w:val="00796491"/>
    <w:rsid w:val="007970F8"/>
    <w:rsid w:val="0079752D"/>
    <w:rsid w:val="007975C3"/>
    <w:rsid w:val="0079786E"/>
    <w:rsid w:val="007978A3"/>
    <w:rsid w:val="00797B3A"/>
    <w:rsid w:val="00797BBF"/>
    <w:rsid w:val="007A0317"/>
    <w:rsid w:val="007A08FB"/>
    <w:rsid w:val="007A09CC"/>
    <w:rsid w:val="007A251D"/>
    <w:rsid w:val="007A28D1"/>
    <w:rsid w:val="007A2CD5"/>
    <w:rsid w:val="007A3BA7"/>
    <w:rsid w:val="007A3BE0"/>
    <w:rsid w:val="007A3E6A"/>
    <w:rsid w:val="007A46F3"/>
    <w:rsid w:val="007A4DC2"/>
    <w:rsid w:val="007A5746"/>
    <w:rsid w:val="007A5AEC"/>
    <w:rsid w:val="007A5CE7"/>
    <w:rsid w:val="007A6DF9"/>
    <w:rsid w:val="007A745D"/>
    <w:rsid w:val="007B2C9E"/>
    <w:rsid w:val="007B3507"/>
    <w:rsid w:val="007B38F9"/>
    <w:rsid w:val="007B449D"/>
    <w:rsid w:val="007B57EF"/>
    <w:rsid w:val="007B5E0A"/>
    <w:rsid w:val="007B5E18"/>
    <w:rsid w:val="007B77CB"/>
    <w:rsid w:val="007C01A5"/>
    <w:rsid w:val="007C05E9"/>
    <w:rsid w:val="007C0A97"/>
    <w:rsid w:val="007C12DA"/>
    <w:rsid w:val="007C1990"/>
    <w:rsid w:val="007C29DC"/>
    <w:rsid w:val="007C34D0"/>
    <w:rsid w:val="007C3708"/>
    <w:rsid w:val="007C4220"/>
    <w:rsid w:val="007C547B"/>
    <w:rsid w:val="007C598F"/>
    <w:rsid w:val="007C6047"/>
    <w:rsid w:val="007C68DB"/>
    <w:rsid w:val="007C6A7A"/>
    <w:rsid w:val="007D06CC"/>
    <w:rsid w:val="007D0F32"/>
    <w:rsid w:val="007D14DB"/>
    <w:rsid w:val="007D2E27"/>
    <w:rsid w:val="007D512F"/>
    <w:rsid w:val="007D515B"/>
    <w:rsid w:val="007D55ED"/>
    <w:rsid w:val="007D59BF"/>
    <w:rsid w:val="007D5D21"/>
    <w:rsid w:val="007D5EAF"/>
    <w:rsid w:val="007D60DB"/>
    <w:rsid w:val="007D633F"/>
    <w:rsid w:val="007D6C35"/>
    <w:rsid w:val="007D7C54"/>
    <w:rsid w:val="007E0375"/>
    <w:rsid w:val="007E12AF"/>
    <w:rsid w:val="007E152F"/>
    <w:rsid w:val="007E15CE"/>
    <w:rsid w:val="007E1CDE"/>
    <w:rsid w:val="007E228B"/>
    <w:rsid w:val="007E2FB6"/>
    <w:rsid w:val="007E4D21"/>
    <w:rsid w:val="007E506D"/>
    <w:rsid w:val="007E605E"/>
    <w:rsid w:val="007E6437"/>
    <w:rsid w:val="007E798C"/>
    <w:rsid w:val="007E7B91"/>
    <w:rsid w:val="007E7C53"/>
    <w:rsid w:val="007E7E11"/>
    <w:rsid w:val="007F12F3"/>
    <w:rsid w:val="007F1DDE"/>
    <w:rsid w:val="007F2A48"/>
    <w:rsid w:val="007F2CE8"/>
    <w:rsid w:val="007F2DD6"/>
    <w:rsid w:val="007F382A"/>
    <w:rsid w:val="007F4303"/>
    <w:rsid w:val="007F446B"/>
    <w:rsid w:val="00800BAE"/>
    <w:rsid w:val="0080120E"/>
    <w:rsid w:val="00801517"/>
    <w:rsid w:val="00802344"/>
    <w:rsid w:val="008027B7"/>
    <w:rsid w:val="00803BFE"/>
    <w:rsid w:val="00803CA6"/>
    <w:rsid w:val="00805560"/>
    <w:rsid w:val="00805DFE"/>
    <w:rsid w:val="00805F26"/>
    <w:rsid w:val="00807A2B"/>
    <w:rsid w:val="00807BBB"/>
    <w:rsid w:val="008100CF"/>
    <w:rsid w:val="00811178"/>
    <w:rsid w:val="0081143F"/>
    <w:rsid w:val="0081515B"/>
    <w:rsid w:val="00815440"/>
    <w:rsid w:val="00815B4E"/>
    <w:rsid w:val="00815B7B"/>
    <w:rsid w:val="0081758B"/>
    <w:rsid w:val="0081766C"/>
    <w:rsid w:val="00817B58"/>
    <w:rsid w:val="00817CFD"/>
    <w:rsid w:val="00820644"/>
    <w:rsid w:val="00821821"/>
    <w:rsid w:val="008235E8"/>
    <w:rsid w:val="00823762"/>
    <w:rsid w:val="00824858"/>
    <w:rsid w:val="00824D62"/>
    <w:rsid w:val="00825ACF"/>
    <w:rsid w:val="00825C4A"/>
    <w:rsid w:val="00825F4E"/>
    <w:rsid w:val="008274AD"/>
    <w:rsid w:val="00827816"/>
    <w:rsid w:val="008327BC"/>
    <w:rsid w:val="00832A99"/>
    <w:rsid w:val="00833FB7"/>
    <w:rsid w:val="00835028"/>
    <w:rsid w:val="008351F5"/>
    <w:rsid w:val="00835C38"/>
    <w:rsid w:val="00835E10"/>
    <w:rsid w:val="00835F3A"/>
    <w:rsid w:val="00836BEB"/>
    <w:rsid w:val="00837D7F"/>
    <w:rsid w:val="0084061B"/>
    <w:rsid w:val="00840885"/>
    <w:rsid w:val="00840E09"/>
    <w:rsid w:val="00841944"/>
    <w:rsid w:val="00842623"/>
    <w:rsid w:val="00842824"/>
    <w:rsid w:val="00842BEE"/>
    <w:rsid w:val="00843118"/>
    <w:rsid w:val="00844232"/>
    <w:rsid w:val="00844582"/>
    <w:rsid w:val="00845AE0"/>
    <w:rsid w:val="008475DA"/>
    <w:rsid w:val="00851259"/>
    <w:rsid w:val="00851328"/>
    <w:rsid w:val="00852B88"/>
    <w:rsid w:val="00853266"/>
    <w:rsid w:val="00853826"/>
    <w:rsid w:val="00853B65"/>
    <w:rsid w:val="00854268"/>
    <w:rsid w:val="008542B9"/>
    <w:rsid w:val="00854D8D"/>
    <w:rsid w:val="00855066"/>
    <w:rsid w:val="00855F20"/>
    <w:rsid w:val="00856417"/>
    <w:rsid w:val="00856433"/>
    <w:rsid w:val="00856B4E"/>
    <w:rsid w:val="00857806"/>
    <w:rsid w:val="00862F21"/>
    <w:rsid w:val="00862F88"/>
    <w:rsid w:val="008636D1"/>
    <w:rsid w:val="008640AE"/>
    <w:rsid w:val="008644C0"/>
    <w:rsid w:val="00864CFE"/>
    <w:rsid w:val="00865461"/>
    <w:rsid w:val="0086581C"/>
    <w:rsid w:val="008667FA"/>
    <w:rsid w:val="0086711D"/>
    <w:rsid w:val="00867C9D"/>
    <w:rsid w:val="008702B8"/>
    <w:rsid w:val="008710B9"/>
    <w:rsid w:val="008711FC"/>
    <w:rsid w:val="00871ECD"/>
    <w:rsid w:val="0087322D"/>
    <w:rsid w:val="00873805"/>
    <w:rsid w:val="00873D38"/>
    <w:rsid w:val="00874BB0"/>
    <w:rsid w:val="00875307"/>
    <w:rsid w:val="00875B52"/>
    <w:rsid w:val="00876956"/>
    <w:rsid w:val="00877BCB"/>
    <w:rsid w:val="00877D20"/>
    <w:rsid w:val="008810EA"/>
    <w:rsid w:val="0088163A"/>
    <w:rsid w:val="00881DA8"/>
    <w:rsid w:val="008824AF"/>
    <w:rsid w:val="00882E70"/>
    <w:rsid w:val="00882ED2"/>
    <w:rsid w:val="008831E3"/>
    <w:rsid w:val="00883B3C"/>
    <w:rsid w:val="00883DAD"/>
    <w:rsid w:val="00884198"/>
    <w:rsid w:val="00884F3E"/>
    <w:rsid w:val="00885436"/>
    <w:rsid w:val="008862AC"/>
    <w:rsid w:val="00886573"/>
    <w:rsid w:val="008869F5"/>
    <w:rsid w:val="00886D89"/>
    <w:rsid w:val="008904EC"/>
    <w:rsid w:val="00890D88"/>
    <w:rsid w:val="00892266"/>
    <w:rsid w:val="00892357"/>
    <w:rsid w:val="00893509"/>
    <w:rsid w:val="008947EE"/>
    <w:rsid w:val="0089589B"/>
    <w:rsid w:val="00897097"/>
    <w:rsid w:val="00897697"/>
    <w:rsid w:val="008979EF"/>
    <w:rsid w:val="008A0669"/>
    <w:rsid w:val="008A0FA7"/>
    <w:rsid w:val="008A1E5D"/>
    <w:rsid w:val="008A2624"/>
    <w:rsid w:val="008A4F4B"/>
    <w:rsid w:val="008A64D8"/>
    <w:rsid w:val="008A6D97"/>
    <w:rsid w:val="008A6F10"/>
    <w:rsid w:val="008A7555"/>
    <w:rsid w:val="008A7F28"/>
    <w:rsid w:val="008B0C0C"/>
    <w:rsid w:val="008B0CDB"/>
    <w:rsid w:val="008B0EEB"/>
    <w:rsid w:val="008B13A0"/>
    <w:rsid w:val="008B260D"/>
    <w:rsid w:val="008B3AC3"/>
    <w:rsid w:val="008B4D91"/>
    <w:rsid w:val="008B4F4A"/>
    <w:rsid w:val="008B7DA6"/>
    <w:rsid w:val="008C037F"/>
    <w:rsid w:val="008C0F14"/>
    <w:rsid w:val="008C1209"/>
    <w:rsid w:val="008C1D01"/>
    <w:rsid w:val="008C26B0"/>
    <w:rsid w:val="008C2E45"/>
    <w:rsid w:val="008C3F53"/>
    <w:rsid w:val="008C543C"/>
    <w:rsid w:val="008C6B02"/>
    <w:rsid w:val="008C6C5B"/>
    <w:rsid w:val="008C7197"/>
    <w:rsid w:val="008D32D5"/>
    <w:rsid w:val="008D3A58"/>
    <w:rsid w:val="008D4350"/>
    <w:rsid w:val="008D502E"/>
    <w:rsid w:val="008D52A4"/>
    <w:rsid w:val="008D6373"/>
    <w:rsid w:val="008D6FD8"/>
    <w:rsid w:val="008D709D"/>
    <w:rsid w:val="008D7483"/>
    <w:rsid w:val="008E2AA5"/>
    <w:rsid w:val="008E2EC8"/>
    <w:rsid w:val="008E3E77"/>
    <w:rsid w:val="008E4A75"/>
    <w:rsid w:val="008E4D74"/>
    <w:rsid w:val="008E560C"/>
    <w:rsid w:val="008E600E"/>
    <w:rsid w:val="008E6D96"/>
    <w:rsid w:val="008F0885"/>
    <w:rsid w:val="008F0943"/>
    <w:rsid w:val="008F0C97"/>
    <w:rsid w:val="008F1827"/>
    <w:rsid w:val="008F2496"/>
    <w:rsid w:val="008F289A"/>
    <w:rsid w:val="008F31D0"/>
    <w:rsid w:val="008F3E0A"/>
    <w:rsid w:val="008F3E25"/>
    <w:rsid w:val="008F5F13"/>
    <w:rsid w:val="008F6B76"/>
    <w:rsid w:val="008F6DFC"/>
    <w:rsid w:val="008F708A"/>
    <w:rsid w:val="0090060B"/>
    <w:rsid w:val="00900C31"/>
    <w:rsid w:val="00900E1B"/>
    <w:rsid w:val="00902458"/>
    <w:rsid w:val="0090338A"/>
    <w:rsid w:val="009034BC"/>
    <w:rsid w:val="00903CF0"/>
    <w:rsid w:val="009048CF"/>
    <w:rsid w:val="00905405"/>
    <w:rsid w:val="00905DBD"/>
    <w:rsid w:val="0090641C"/>
    <w:rsid w:val="00906736"/>
    <w:rsid w:val="00906A14"/>
    <w:rsid w:val="00906E2E"/>
    <w:rsid w:val="0090712B"/>
    <w:rsid w:val="00907A05"/>
    <w:rsid w:val="00907D9F"/>
    <w:rsid w:val="00907DA4"/>
    <w:rsid w:val="00907DDC"/>
    <w:rsid w:val="00911399"/>
    <w:rsid w:val="009116AE"/>
    <w:rsid w:val="00911AF0"/>
    <w:rsid w:val="00912AF5"/>
    <w:rsid w:val="00912BEA"/>
    <w:rsid w:val="00913461"/>
    <w:rsid w:val="00913DBF"/>
    <w:rsid w:val="009146CC"/>
    <w:rsid w:val="00915773"/>
    <w:rsid w:val="009158B9"/>
    <w:rsid w:val="009172C7"/>
    <w:rsid w:val="00917302"/>
    <w:rsid w:val="009174ED"/>
    <w:rsid w:val="00917789"/>
    <w:rsid w:val="0091778E"/>
    <w:rsid w:val="009213FC"/>
    <w:rsid w:val="00924045"/>
    <w:rsid w:val="00924314"/>
    <w:rsid w:val="009246D1"/>
    <w:rsid w:val="00924B2D"/>
    <w:rsid w:val="00925A97"/>
    <w:rsid w:val="00925E3F"/>
    <w:rsid w:val="009264E4"/>
    <w:rsid w:val="00926554"/>
    <w:rsid w:val="00927597"/>
    <w:rsid w:val="00927EE8"/>
    <w:rsid w:val="00930326"/>
    <w:rsid w:val="00930DF9"/>
    <w:rsid w:val="00931293"/>
    <w:rsid w:val="009312B8"/>
    <w:rsid w:val="0093143B"/>
    <w:rsid w:val="00931636"/>
    <w:rsid w:val="00931AA4"/>
    <w:rsid w:val="00932E64"/>
    <w:rsid w:val="00932ED2"/>
    <w:rsid w:val="00934776"/>
    <w:rsid w:val="00935EEF"/>
    <w:rsid w:val="0093644B"/>
    <w:rsid w:val="00936A92"/>
    <w:rsid w:val="00940681"/>
    <w:rsid w:val="00940696"/>
    <w:rsid w:val="00940767"/>
    <w:rsid w:val="00940E41"/>
    <w:rsid w:val="0094145A"/>
    <w:rsid w:val="009414B4"/>
    <w:rsid w:val="00941AE5"/>
    <w:rsid w:val="00941E62"/>
    <w:rsid w:val="00942370"/>
    <w:rsid w:val="009428F2"/>
    <w:rsid w:val="00942AA6"/>
    <w:rsid w:val="00942F13"/>
    <w:rsid w:val="009432B4"/>
    <w:rsid w:val="00944CEF"/>
    <w:rsid w:val="00945A97"/>
    <w:rsid w:val="00945BAD"/>
    <w:rsid w:val="00945CCC"/>
    <w:rsid w:val="009479F6"/>
    <w:rsid w:val="00947D03"/>
    <w:rsid w:val="00947FCD"/>
    <w:rsid w:val="00951A39"/>
    <w:rsid w:val="00951B2B"/>
    <w:rsid w:val="00952A35"/>
    <w:rsid w:val="00953CC1"/>
    <w:rsid w:val="00954DD4"/>
    <w:rsid w:val="009554DC"/>
    <w:rsid w:val="00955776"/>
    <w:rsid w:val="009566D8"/>
    <w:rsid w:val="00957331"/>
    <w:rsid w:val="00957C10"/>
    <w:rsid w:val="00957EE1"/>
    <w:rsid w:val="0096035A"/>
    <w:rsid w:val="009605A8"/>
    <w:rsid w:val="00960F08"/>
    <w:rsid w:val="0096135E"/>
    <w:rsid w:val="00961D60"/>
    <w:rsid w:val="0096217F"/>
    <w:rsid w:val="00962D33"/>
    <w:rsid w:val="00962E40"/>
    <w:rsid w:val="009630D1"/>
    <w:rsid w:val="009635AC"/>
    <w:rsid w:val="0096455A"/>
    <w:rsid w:val="00964846"/>
    <w:rsid w:val="00965351"/>
    <w:rsid w:val="009666A3"/>
    <w:rsid w:val="00967055"/>
    <w:rsid w:val="00967541"/>
    <w:rsid w:val="0096784A"/>
    <w:rsid w:val="00967E27"/>
    <w:rsid w:val="00970467"/>
    <w:rsid w:val="009710C8"/>
    <w:rsid w:val="00971ECB"/>
    <w:rsid w:val="009724FE"/>
    <w:rsid w:val="00972B45"/>
    <w:rsid w:val="0097364F"/>
    <w:rsid w:val="0097452F"/>
    <w:rsid w:val="00974AD3"/>
    <w:rsid w:val="00974EC5"/>
    <w:rsid w:val="00975051"/>
    <w:rsid w:val="009751DA"/>
    <w:rsid w:val="00975751"/>
    <w:rsid w:val="00976930"/>
    <w:rsid w:val="00976D5D"/>
    <w:rsid w:val="009771B4"/>
    <w:rsid w:val="009772C6"/>
    <w:rsid w:val="009776FB"/>
    <w:rsid w:val="00977D08"/>
    <w:rsid w:val="00980384"/>
    <w:rsid w:val="00980BED"/>
    <w:rsid w:val="009811F6"/>
    <w:rsid w:val="009813FF"/>
    <w:rsid w:val="00982061"/>
    <w:rsid w:val="00982D4E"/>
    <w:rsid w:val="00983E07"/>
    <w:rsid w:val="00984E3B"/>
    <w:rsid w:val="009856F6"/>
    <w:rsid w:val="009864E4"/>
    <w:rsid w:val="0098794C"/>
    <w:rsid w:val="00990015"/>
    <w:rsid w:val="00990133"/>
    <w:rsid w:val="00990C18"/>
    <w:rsid w:val="00990DC4"/>
    <w:rsid w:val="009917DF"/>
    <w:rsid w:val="00992D99"/>
    <w:rsid w:val="00993A78"/>
    <w:rsid w:val="009949B6"/>
    <w:rsid w:val="00995191"/>
    <w:rsid w:val="00995DBB"/>
    <w:rsid w:val="00995E88"/>
    <w:rsid w:val="009961C3"/>
    <w:rsid w:val="00996B90"/>
    <w:rsid w:val="0099746A"/>
    <w:rsid w:val="00997C60"/>
    <w:rsid w:val="00997CA9"/>
    <w:rsid w:val="009A0B93"/>
    <w:rsid w:val="009A140A"/>
    <w:rsid w:val="009A1781"/>
    <w:rsid w:val="009A1F2C"/>
    <w:rsid w:val="009A283B"/>
    <w:rsid w:val="009A2BCD"/>
    <w:rsid w:val="009A2C1C"/>
    <w:rsid w:val="009A49DC"/>
    <w:rsid w:val="009A49EC"/>
    <w:rsid w:val="009A534C"/>
    <w:rsid w:val="009A5481"/>
    <w:rsid w:val="009A5F03"/>
    <w:rsid w:val="009A61AA"/>
    <w:rsid w:val="009A6561"/>
    <w:rsid w:val="009A7BDD"/>
    <w:rsid w:val="009B0D24"/>
    <w:rsid w:val="009B1258"/>
    <w:rsid w:val="009B169E"/>
    <w:rsid w:val="009B31A3"/>
    <w:rsid w:val="009B41F6"/>
    <w:rsid w:val="009B43B9"/>
    <w:rsid w:val="009B6323"/>
    <w:rsid w:val="009B6F7A"/>
    <w:rsid w:val="009B7AD6"/>
    <w:rsid w:val="009C0094"/>
    <w:rsid w:val="009C02F5"/>
    <w:rsid w:val="009C0554"/>
    <w:rsid w:val="009C0B20"/>
    <w:rsid w:val="009C0C34"/>
    <w:rsid w:val="009C0E71"/>
    <w:rsid w:val="009C1A2D"/>
    <w:rsid w:val="009C1FB7"/>
    <w:rsid w:val="009C21C5"/>
    <w:rsid w:val="009C322A"/>
    <w:rsid w:val="009C5617"/>
    <w:rsid w:val="009C6A2B"/>
    <w:rsid w:val="009D10A4"/>
    <w:rsid w:val="009D16A6"/>
    <w:rsid w:val="009D1E2D"/>
    <w:rsid w:val="009D2A10"/>
    <w:rsid w:val="009D2B45"/>
    <w:rsid w:val="009D2EAC"/>
    <w:rsid w:val="009D301D"/>
    <w:rsid w:val="009D433D"/>
    <w:rsid w:val="009D4851"/>
    <w:rsid w:val="009D5195"/>
    <w:rsid w:val="009D66E5"/>
    <w:rsid w:val="009D707F"/>
    <w:rsid w:val="009D76BA"/>
    <w:rsid w:val="009E0EC0"/>
    <w:rsid w:val="009E13AE"/>
    <w:rsid w:val="009E1BC2"/>
    <w:rsid w:val="009E1D7A"/>
    <w:rsid w:val="009E358F"/>
    <w:rsid w:val="009E35D7"/>
    <w:rsid w:val="009E4791"/>
    <w:rsid w:val="009E4D78"/>
    <w:rsid w:val="009E4E97"/>
    <w:rsid w:val="009E521D"/>
    <w:rsid w:val="009E5BBC"/>
    <w:rsid w:val="009E5C82"/>
    <w:rsid w:val="009E5E58"/>
    <w:rsid w:val="009E623A"/>
    <w:rsid w:val="009E6591"/>
    <w:rsid w:val="009E670C"/>
    <w:rsid w:val="009F08CA"/>
    <w:rsid w:val="009F1C08"/>
    <w:rsid w:val="009F1EB8"/>
    <w:rsid w:val="009F2465"/>
    <w:rsid w:val="009F3364"/>
    <w:rsid w:val="009F5CDB"/>
    <w:rsid w:val="009F648F"/>
    <w:rsid w:val="009F7C38"/>
    <w:rsid w:val="009F7EB2"/>
    <w:rsid w:val="00A00182"/>
    <w:rsid w:val="00A00382"/>
    <w:rsid w:val="00A01626"/>
    <w:rsid w:val="00A01665"/>
    <w:rsid w:val="00A01DD0"/>
    <w:rsid w:val="00A02507"/>
    <w:rsid w:val="00A02A1E"/>
    <w:rsid w:val="00A036FA"/>
    <w:rsid w:val="00A03F8D"/>
    <w:rsid w:val="00A04CB1"/>
    <w:rsid w:val="00A04DB9"/>
    <w:rsid w:val="00A0576D"/>
    <w:rsid w:val="00A06A3A"/>
    <w:rsid w:val="00A07645"/>
    <w:rsid w:val="00A10680"/>
    <w:rsid w:val="00A10D38"/>
    <w:rsid w:val="00A10E86"/>
    <w:rsid w:val="00A11706"/>
    <w:rsid w:val="00A12380"/>
    <w:rsid w:val="00A1391E"/>
    <w:rsid w:val="00A13FE4"/>
    <w:rsid w:val="00A14FA1"/>
    <w:rsid w:val="00A1502D"/>
    <w:rsid w:val="00A169B9"/>
    <w:rsid w:val="00A17068"/>
    <w:rsid w:val="00A174E6"/>
    <w:rsid w:val="00A20026"/>
    <w:rsid w:val="00A22414"/>
    <w:rsid w:val="00A23210"/>
    <w:rsid w:val="00A233DF"/>
    <w:rsid w:val="00A248AC"/>
    <w:rsid w:val="00A248FC"/>
    <w:rsid w:val="00A250BE"/>
    <w:rsid w:val="00A250BF"/>
    <w:rsid w:val="00A25974"/>
    <w:rsid w:val="00A25BF6"/>
    <w:rsid w:val="00A2606F"/>
    <w:rsid w:val="00A26329"/>
    <w:rsid w:val="00A26471"/>
    <w:rsid w:val="00A26FDC"/>
    <w:rsid w:val="00A27B80"/>
    <w:rsid w:val="00A27E1A"/>
    <w:rsid w:val="00A27E7B"/>
    <w:rsid w:val="00A3068E"/>
    <w:rsid w:val="00A3135D"/>
    <w:rsid w:val="00A31B70"/>
    <w:rsid w:val="00A32878"/>
    <w:rsid w:val="00A32FCA"/>
    <w:rsid w:val="00A34E44"/>
    <w:rsid w:val="00A35A10"/>
    <w:rsid w:val="00A35F77"/>
    <w:rsid w:val="00A3782D"/>
    <w:rsid w:val="00A40217"/>
    <w:rsid w:val="00A40EE3"/>
    <w:rsid w:val="00A40F6A"/>
    <w:rsid w:val="00A411B4"/>
    <w:rsid w:val="00A42026"/>
    <w:rsid w:val="00A4220F"/>
    <w:rsid w:val="00A424DD"/>
    <w:rsid w:val="00A428B0"/>
    <w:rsid w:val="00A4357A"/>
    <w:rsid w:val="00A4375D"/>
    <w:rsid w:val="00A43830"/>
    <w:rsid w:val="00A45369"/>
    <w:rsid w:val="00A47027"/>
    <w:rsid w:val="00A4752B"/>
    <w:rsid w:val="00A47A64"/>
    <w:rsid w:val="00A47E32"/>
    <w:rsid w:val="00A50342"/>
    <w:rsid w:val="00A50D14"/>
    <w:rsid w:val="00A52BE3"/>
    <w:rsid w:val="00A52CC0"/>
    <w:rsid w:val="00A53ABD"/>
    <w:rsid w:val="00A53F3B"/>
    <w:rsid w:val="00A54390"/>
    <w:rsid w:val="00A5617C"/>
    <w:rsid w:val="00A56539"/>
    <w:rsid w:val="00A607F3"/>
    <w:rsid w:val="00A618FE"/>
    <w:rsid w:val="00A61910"/>
    <w:rsid w:val="00A61FDC"/>
    <w:rsid w:val="00A62EE3"/>
    <w:rsid w:val="00A640EA"/>
    <w:rsid w:val="00A64D34"/>
    <w:rsid w:val="00A64DA4"/>
    <w:rsid w:val="00A65046"/>
    <w:rsid w:val="00A678B6"/>
    <w:rsid w:val="00A67DD2"/>
    <w:rsid w:val="00A71000"/>
    <w:rsid w:val="00A72148"/>
    <w:rsid w:val="00A72F52"/>
    <w:rsid w:val="00A73C72"/>
    <w:rsid w:val="00A74DEE"/>
    <w:rsid w:val="00A75323"/>
    <w:rsid w:val="00A75731"/>
    <w:rsid w:val="00A759DD"/>
    <w:rsid w:val="00A76B18"/>
    <w:rsid w:val="00A77F46"/>
    <w:rsid w:val="00A80F36"/>
    <w:rsid w:val="00A83649"/>
    <w:rsid w:val="00A836DF"/>
    <w:rsid w:val="00A83C10"/>
    <w:rsid w:val="00A83C50"/>
    <w:rsid w:val="00A83FAC"/>
    <w:rsid w:val="00A85B96"/>
    <w:rsid w:val="00A86C4B"/>
    <w:rsid w:val="00A8701D"/>
    <w:rsid w:val="00A87348"/>
    <w:rsid w:val="00A90A56"/>
    <w:rsid w:val="00A9132E"/>
    <w:rsid w:val="00A91570"/>
    <w:rsid w:val="00A91809"/>
    <w:rsid w:val="00A91E28"/>
    <w:rsid w:val="00A924FC"/>
    <w:rsid w:val="00A93525"/>
    <w:rsid w:val="00A93C0C"/>
    <w:rsid w:val="00A93C29"/>
    <w:rsid w:val="00A93D2C"/>
    <w:rsid w:val="00A9438E"/>
    <w:rsid w:val="00A94A1D"/>
    <w:rsid w:val="00A9501B"/>
    <w:rsid w:val="00A95932"/>
    <w:rsid w:val="00A95B9F"/>
    <w:rsid w:val="00A95C9B"/>
    <w:rsid w:val="00A96834"/>
    <w:rsid w:val="00AA069B"/>
    <w:rsid w:val="00AA09C2"/>
    <w:rsid w:val="00AA0CB9"/>
    <w:rsid w:val="00AA16D8"/>
    <w:rsid w:val="00AA1CA9"/>
    <w:rsid w:val="00AA27A1"/>
    <w:rsid w:val="00AA2C37"/>
    <w:rsid w:val="00AA3BC1"/>
    <w:rsid w:val="00AA57A1"/>
    <w:rsid w:val="00AA65E1"/>
    <w:rsid w:val="00AB00D5"/>
    <w:rsid w:val="00AB08BA"/>
    <w:rsid w:val="00AB0E52"/>
    <w:rsid w:val="00AB248A"/>
    <w:rsid w:val="00AB271A"/>
    <w:rsid w:val="00AB3068"/>
    <w:rsid w:val="00AB4E36"/>
    <w:rsid w:val="00AB4FAD"/>
    <w:rsid w:val="00AB5B08"/>
    <w:rsid w:val="00AB6D9D"/>
    <w:rsid w:val="00AB706F"/>
    <w:rsid w:val="00AB7761"/>
    <w:rsid w:val="00AB7D0A"/>
    <w:rsid w:val="00AC03A7"/>
    <w:rsid w:val="00AC0CA0"/>
    <w:rsid w:val="00AC111A"/>
    <w:rsid w:val="00AC1761"/>
    <w:rsid w:val="00AC1AEA"/>
    <w:rsid w:val="00AC21B4"/>
    <w:rsid w:val="00AC3E52"/>
    <w:rsid w:val="00AC5100"/>
    <w:rsid w:val="00AC6925"/>
    <w:rsid w:val="00AC6E96"/>
    <w:rsid w:val="00AC72FE"/>
    <w:rsid w:val="00AD01AD"/>
    <w:rsid w:val="00AD07D1"/>
    <w:rsid w:val="00AD12DE"/>
    <w:rsid w:val="00AD1B5E"/>
    <w:rsid w:val="00AD2779"/>
    <w:rsid w:val="00AD3517"/>
    <w:rsid w:val="00AD3682"/>
    <w:rsid w:val="00AD40C7"/>
    <w:rsid w:val="00AD5C8D"/>
    <w:rsid w:val="00AD5F57"/>
    <w:rsid w:val="00AD6DA0"/>
    <w:rsid w:val="00AD724F"/>
    <w:rsid w:val="00AD7BDA"/>
    <w:rsid w:val="00AE060C"/>
    <w:rsid w:val="00AE0703"/>
    <w:rsid w:val="00AE0A64"/>
    <w:rsid w:val="00AE0CBB"/>
    <w:rsid w:val="00AE12CE"/>
    <w:rsid w:val="00AE1627"/>
    <w:rsid w:val="00AE241C"/>
    <w:rsid w:val="00AE2F70"/>
    <w:rsid w:val="00AE43B8"/>
    <w:rsid w:val="00AE447D"/>
    <w:rsid w:val="00AE4862"/>
    <w:rsid w:val="00AE4F2C"/>
    <w:rsid w:val="00AE5BAA"/>
    <w:rsid w:val="00AE6029"/>
    <w:rsid w:val="00AE6156"/>
    <w:rsid w:val="00AE72B7"/>
    <w:rsid w:val="00AE78D2"/>
    <w:rsid w:val="00AE7BFF"/>
    <w:rsid w:val="00AF0049"/>
    <w:rsid w:val="00AF0BEC"/>
    <w:rsid w:val="00AF32C4"/>
    <w:rsid w:val="00AF4164"/>
    <w:rsid w:val="00AF5573"/>
    <w:rsid w:val="00AF5F49"/>
    <w:rsid w:val="00AF686A"/>
    <w:rsid w:val="00AF6AD1"/>
    <w:rsid w:val="00B004E0"/>
    <w:rsid w:val="00B01F2A"/>
    <w:rsid w:val="00B0280E"/>
    <w:rsid w:val="00B03487"/>
    <w:rsid w:val="00B03608"/>
    <w:rsid w:val="00B03E0C"/>
    <w:rsid w:val="00B04AA1"/>
    <w:rsid w:val="00B04F10"/>
    <w:rsid w:val="00B05244"/>
    <w:rsid w:val="00B05C15"/>
    <w:rsid w:val="00B0642D"/>
    <w:rsid w:val="00B105D2"/>
    <w:rsid w:val="00B10938"/>
    <w:rsid w:val="00B10BD3"/>
    <w:rsid w:val="00B10DD1"/>
    <w:rsid w:val="00B11193"/>
    <w:rsid w:val="00B13B21"/>
    <w:rsid w:val="00B178D4"/>
    <w:rsid w:val="00B200E0"/>
    <w:rsid w:val="00B2050C"/>
    <w:rsid w:val="00B20E11"/>
    <w:rsid w:val="00B20F6D"/>
    <w:rsid w:val="00B21B7F"/>
    <w:rsid w:val="00B221D2"/>
    <w:rsid w:val="00B22F24"/>
    <w:rsid w:val="00B2375F"/>
    <w:rsid w:val="00B239E6"/>
    <w:rsid w:val="00B248BD"/>
    <w:rsid w:val="00B24E0D"/>
    <w:rsid w:val="00B25184"/>
    <w:rsid w:val="00B26D9D"/>
    <w:rsid w:val="00B2788D"/>
    <w:rsid w:val="00B27C6A"/>
    <w:rsid w:val="00B27D02"/>
    <w:rsid w:val="00B27E1A"/>
    <w:rsid w:val="00B31F70"/>
    <w:rsid w:val="00B32143"/>
    <w:rsid w:val="00B325B2"/>
    <w:rsid w:val="00B32975"/>
    <w:rsid w:val="00B33243"/>
    <w:rsid w:val="00B33B9C"/>
    <w:rsid w:val="00B33D30"/>
    <w:rsid w:val="00B33FCF"/>
    <w:rsid w:val="00B3446E"/>
    <w:rsid w:val="00B35611"/>
    <w:rsid w:val="00B35ECA"/>
    <w:rsid w:val="00B364A6"/>
    <w:rsid w:val="00B369D7"/>
    <w:rsid w:val="00B36DE6"/>
    <w:rsid w:val="00B37229"/>
    <w:rsid w:val="00B400FD"/>
    <w:rsid w:val="00B40E7E"/>
    <w:rsid w:val="00B41213"/>
    <w:rsid w:val="00B41D4B"/>
    <w:rsid w:val="00B42ED3"/>
    <w:rsid w:val="00B42FA9"/>
    <w:rsid w:val="00B4325B"/>
    <w:rsid w:val="00B43597"/>
    <w:rsid w:val="00B44007"/>
    <w:rsid w:val="00B44038"/>
    <w:rsid w:val="00B45A6D"/>
    <w:rsid w:val="00B45F92"/>
    <w:rsid w:val="00B4728B"/>
    <w:rsid w:val="00B47615"/>
    <w:rsid w:val="00B513FD"/>
    <w:rsid w:val="00B517E8"/>
    <w:rsid w:val="00B53460"/>
    <w:rsid w:val="00B535D9"/>
    <w:rsid w:val="00B53600"/>
    <w:rsid w:val="00B53800"/>
    <w:rsid w:val="00B539A8"/>
    <w:rsid w:val="00B53D21"/>
    <w:rsid w:val="00B54748"/>
    <w:rsid w:val="00B550CC"/>
    <w:rsid w:val="00B555CA"/>
    <w:rsid w:val="00B556CC"/>
    <w:rsid w:val="00B560B4"/>
    <w:rsid w:val="00B564B3"/>
    <w:rsid w:val="00B5653B"/>
    <w:rsid w:val="00B56866"/>
    <w:rsid w:val="00B57489"/>
    <w:rsid w:val="00B5778A"/>
    <w:rsid w:val="00B5791D"/>
    <w:rsid w:val="00B57B50"/>
    <w:rsid w:val="00B57CE1"/>
    <w:rsid w:val="00B60825"/>
    <w:rsid w:val="00B61649"/>
    <w:rsid w:val="00B64393"/>
    <w:rsid w:val="00B64E6E"/>
    <w:rsid w:val="00B66CAD"/>
    <w:rsid w:val="00B66EE9"/>
    <w:rsid w:val="00B671C1"/>
    <w:rsid w:val="00B67AA2"/>
    <w:rsid w:val="00B70150"/>
    <w:rsid w:val="00B70F86"/>
    <w:rsid w:val="00B71B64"/>
    <w:rsid w:val="00B72425"/>
    <w:rsid w:val="00B7322F"/>
    <w:rsid w:val="00B74452"/>
    <w:rsid w:val="00B7460D"/>
    <w:rsid w:val="00B74706"/>
    <w:rsid w:val="00B75029"/>
    <w:rsid w:val="00B751FD"/>
    <w:rsid w:val="00B75951"/>
    <w:rsid w:val="00B7637B"/>
    <w:rsid w:val="00B7644A"/>
    <w:rsid w:val="00B767A3"/>
    <w:rsid w:val="00B767B7"/>
    <w:rsid w:val="00B77C7D"/>
    <w:rsid w:val="00B80D88"/>
    <w:rsid w:val="00B8111D"/>
    <w:rsid w:val="00B821AD"/>
    <w:rsid w:val="00B83F0A"/>
    <w:rsid w:val="00B8413C"/>
    <w:rsid w:val="00B844CF"/>
    <w:rsid w:val="00B84589"/>
    <w:rsid w:val="00B84B76"/>
    <w:rsid w:val="00B850A9"/>
    <w:rsid w:val="00B85118"/>
    <w:rsid w:val="00B8524C"/>
    <w:rsid w:val="00B86334"/>
    <w:rsid w:val="00B86BC0"/>
    <w:rsid w:val="00B86F90"/>
    <w:rsid w:val="00B87345"/>
    <w:rsid w:val="00B902B5"/>
    <w:rsid w:val="00B902B7"/>
    <w:rsid w:val="00B90A18"/>
    <w:rsid w:val="00B91561"/>
    <w:rsid w:val="00B92748"/>
    <w:rsid w:val="00B93A48"/>
    <w:rsid w:val="00B941A9"/>
    <w:rsid w:val="00B950D5"/>
    <w:rsid w:val="00B95C53"/>
    <w:rsid w:val="00B96668"/>
    <w:rsid w:val="00B97316"/>
    <w:rsid w:val="00B9790D"/>
    <w:rsid w:val="00B97D96"/>
    <w:rsid w:val="00B97FAB"/>
    <w:rsid w:val="00BA07B5"/>
    <w:rsid w:val="00BA0D1E"/>
    <w:rsid w:val="00BA14E1"/>
    <w:rsid w:val="00BA2878"/>
    <w:rsid w:val="00BA33C4"/>
    <w:rsid w:val="00BA3457"/>
    <w:rsid w:val="00BA45CB"/>
    <w:rsid w:val="00BA608C"/>
    <w:rsid w:val="00BA638D"/>
    <w:rsid w:val="00BA6419"/>
    <w:rsid w:val="00BB0D8E"/>
    <w:rsid w:val="00BB1022"/>
    <w:rsid w:val="00BB1676"/>
    <w:rsid w:val="00BB16AE"/>
    <w:rsid w:val="00BB2169"/>
    <w:rsid w:val="00BB218A"/>
    <w:rsid w:val="00BB2551"/>
    <w:rsid w:val="00BB269F"/>
    <w:rsid w:val="00BB2787"/>
    <w:rsid w:val="00BB38CF"/>
    <w:rsid w:val="00BB483F"/>
    <w:rsid w:val="00BB4858"/>
    <w:rsid w:val="00BB4D00"/>
    <w:rsid w:val="00BB5151"/>
    <w:rsid w:val="00BB578C"/>
    <w:rsid w:val="00BB5A74"/>
    <w:rsid w:val="00BB5CA8"/>
    <w:rsid w:val="00BB63D4"/>
    <w:rsid w:val="00BB7229"/>
    <w:rsid w:val="00BB7D68"/>
    <w:rsid w:val="00BC0363"/>
    <w:rsid w:val="00BC0B22"/>
    <w:rsid w:val="00BC10C3"/>
    <w:rsid w:val="00BC2935"/>
    <w:rsid w:val="00BC2B28"/>
    <w:rsid w:val="00BC4B3B"/>
    <w:rsid w:val="00BC6739"/>
    <w:rsid w:val="00BC6F4D"/>
    <w:rsid w:val="00BC7F66"/>
    <w:rsid w:val="00BD0D97"/>
    <w:rsid w:val="00BD10BF"/>
    <w:rsid w:val="00BD1F93"/>
    <w:rsid w:val="00BD20F5"/>
    <w:rsid w:val="00BD226F"/>
    <w:rsid w:val="00BD3663"/>
    <w:rsid w:val="00BD3C81"/>
    <w:rsid w:val="00BD5A9B"/>
    <w:rsid w:val="00BD6FD0"/>
    <w:rsid w:val="00BD7E69"/>
    <w:rsid w:val="00BE2546"/>
    <w:rsid w:val="00BE2AFB"/>
    <w:rsid w:val="00BE2D69"/>
    <w:rsid w:val="00BE3989"/>
    <w:rsid w:val="00BE3CFC"/>
    <w:rsid w:val="00BE4D0D"/>
    <w:rsid w:val="00BE60E4"/>
    <w:rsid w:val="00BE6D27"/>
    <w:rsid w:val="00BE746C"/>
    <w:rsid w:val="00BE76D1"/>
    <w:rsid w:val="00BF01D4"/>
    <w:rsid w:val="00BF0377"/>
    <w:rsid w:val="00BF12BB"/>
    <w:rsid w:val="00BF1C88"/>
    <w:rsid w:val="00BF1EDF"/>
    <w:rsid w:val="00BF22E5"/>
    <w:rsid w:val="00BF276C"/>
    <w:rsid w:val="00BF27F8"/>
    <w:rsid w:val="00BF358D"/>
    <w:rsid w:val="00BF3914"/>
    <w:rsid w:val="00BF411B"/>
    <w:rsid w:val="00BF471F"/>
    <w:rsid w:val="00BF4885"/>
    <w:rsid w:val="00BF4C12"/>
    <w:rsid w:val="00BF4D72"/>
    <w:rsid w:val="00BF4FD1"/>
    <w:rsid w:val="00BF55D0"/>
    <w:rsid w:val="00BF75EE"/>
    <w:rsid w:val="00C006E0"/>
    <w:rsid w:val="00C01A49"/>
    <w:rsid w:val="00C01D06"/>
    <w:rsid w:val="00C02537"/>
    <w:rsid w:val="00C02A8B"/>
    <w:rsid w:val="00C030F4"/>
    <w:rsid w:val="00C03734"/>
    <w:rsid w:val="00C03B52"/>
    <w:rsid w:val="00C05530"/>
    <w:rsid w:val="00C055B8"/>
    <w:rsid w:val="00C06596"/>
    <w:rsid w:val="00C07036"/>
    <w:rsid w:val="00C07207"/>
    <w:rsid w:val="00C07EAB"/>
    <w:rsid w:val="00C10039"/>
    <w:rsid w:val="00C101F1"/>
    <w:rsid w:val="00C101F7"/>
    <w:rsid w:val="00C11959"/>
    <w:rsid w:val="00C11D6F"/>
    <w:rsid w:val="00C13CC9"/>
    <w:rsid w:val="00C1425C"/>
    <w:rsid w:val="00C14327"/>
    <w:rsid w:val="00C14529"/>
    <w:rsid w:val="00C14575"/>
    <w:rsid w:val="00C148CE"/>
    <w:rsid w:val="00C14D61"/>
    <w:rsid w:val="00C14DEF"/>
    <w:rsid w:val="00C14E62"/>
    <w:rsid w:val="00C15163"/>
    <w:rsid w:val="00C1588F"/>
    <w:rsid w:val="00C1630F"/>
    <w:rsid w:val="00C16963"/>
    <w:rsid w:val="00C17891"/>
    <w:rsid w:val="00C20E2B"/>
    <w:rsid w:val="00C21456"/>
    <w:rsid w:val="00C217F2"/>
    <w:rsid w:val="00C21F8D"/>
    <w:rsid w:val="00C23B8B"/>
    <w:rsid w:val="00C242EE"/>
    <w:rsid w:val="00C25042"/>
    <w:rsid w:val="00C256F8"/>
    <w:rsid w:val="00C25A9D"/>
    <w:rsid w:val="00C25DBA"/>
    <w:rsid w:val="00C26C67"/>
    <w:rsid w:val="00C26F22"/>
    <w:rsid w:val="00C27461"/>
    <w:rsid w:val="00C30AE1"/>
    <w:rsid w:val="00C30C31"/>
    <w:rsid w:val="00C30F42"/>
    <w:rsid w:val="00C310D5"/>
    <w:rsid w:val="00C31B9B"/>
    <w:rsid w:val="00C31DFE"/>
    <w:rsid w:val="00C320C7"/>
    <w:rsid w:val="00C3557D"/>
    <w:rsid w:val="00C35732"/>
    <w:rsid w:val="00C36A10"/>
    <w:rsid w:val="00C36B8D"/>
    <w:rsid w:val="00C36DE7"/>
    <w:rsid w:val="00C3776A"/>
    <w:rsid w:val="00C379EE"/>
    <w:rsid w:val="00C37AB7"/>
    <w:rsid w:val="00C37EBC"/>
    <w:rsid w:val="00C403E4"/>
    <w:rsid w:val="00C41CB4"/>
    <w:rsid w:val="00C41F06"/>
    <w:rsid w:val="00C42163"/>
    <w:rsid w:val="00C4271F"/>
    <w:rsid w:val="00C429BF"/>
    <w:rsid w:val="00C43FB3"/>
    <w:rsid w:val="00C44084"/>
    <w:rsid w:val="00C44C91"/>
    <w:rsid w:val="00C454B7"/>
    <w:rsid w:val="00C45914"/>
    <w:rsid w:val="00C45C4F"/>
    <w:rsid w:val="00C460E9"/>
    <w:rsid w:val="00C4675C"/>
    <w:rsid w:val="00C4704B"/>
    <w:rsid w:val="00C47147"/>
    <w:rsid w:val="00C47BFF"/>
    <w:rsid w:val="00C507DD"/>
    <w:rsid w:val="00C50BBA"/>
    <w:rsid w:val="00C51060"/>
    <w:rsid w:val="00C51524"/>
    <w:rsid w:val="00C526A7"/>
    <w:rsid w:val="00C526EE"/>
    <w:rsid w:val="00C52853"/>
    <w:rsid w:val="00C5305F"/>
    <w:rsid w:val="00C532D3"/>
    <w:rsid w:val="00C5568D"/>
    <w:rsid w:val="00C558DC"/>
    <w:rsid w:val="00C5612E"/>
    <w:rsid w:val="00C56B8A"/>
    <w:rsid w:val="00C5794D"/>
    <w:rsid w:val="00C57B1B"/>
    <w:rsid w:val="00C57C01"/>
    <w:rsid w:val="00C6030D"/>
    <w:rsid w:val="00C61EEF"/>
    <w:rsid w:val="00C62243"/>
    <w:rsid w:val="00C639B0"/>
    <w:rsid w:val="00C63BD5"/>
    <w:rsid w:val="00C65A7E"/>
    <w:rsid w:val="00C65FBB"/>
    <w:rsid w:val="00C66214"/>
    <w:rsid w:val="00C67231"/>
    <w:rsid w:val="00C6797A"/>
    <w:rsid w:val="00C67F9B"/>
    <w:rsid w:val="00C72698"/>
    <w:rsid w:val="00C72E1F"/>
    <w:rsid w:val="00C73044"/>
    <w:rsid w:val="00C73719"/>
    <w:rsid w:val="00C742F0"/>
    <w:rsid w:val="00C74412"/>
    <w:rsid w:val="00C749AF"/>
    <w:rsid w:val="00C7548A"/>
    <w:rsid w:val="00C759E7"/>
    <w:rsid w:val="00C75D68"/>
    <w:rsid w:val="00C75DFB"/>
    <w:rsid w:val="00C761A3"/>
    <w:rsid w:val="00C7622F"/>
    <w:rsid w:val="00C80883"/>
    <w:rsid w:val="00C81339"/>
    <w:rsid w:val="00C82E7C"/>
    <w:rsid w:val="00C84A2E"/>
    <w:rsid w:val="00C8559C"/>
    <w:rsid w:val="00C86BCF"/>
    <w:rsid w:val="00C86E4E"/>
    <w:rsid w:val="00C87116"/>
    <w:rsid w:val="00C87784"/>
    <w:rsid w:val="00C87A50"/>
    <w:rsid w:val="00C9053B"/>
    <w:rsid w:val="00C90831"/>
    <w:rsid w:val="00C90C4C"/>
    <w:rsid w:val="00C91B7A"/>
    <w:rsid w:val="00C9210E"/>
    <w:rsid w:val="00C921FA"/>
    <w:rsid w:val="00C92497"/>
    <w:rsid w:val="00C935AC"/>
    <w:rsid w:val="00C939F2"/>
    <w:rsid w:val="00C95F7B"/>
    <w:rsid w:val="00C96B81"/>
    <w:rsid w:val="00C96D1F"/>
    <w:rsid w:val="00C972A9"/>
    <w:rsid w:val="00C974EE"/>
    <w:rsid w:val="00C97C8C"/>
    <w:rsid w:val="00C97CD6"/>
    <w:rsid w:val="00CA1E60"/>
    <w:rsid w:val="00CA4199"/>
    <w:rsid w:val="00CA42DC"/>
    <w:rsid w:val="00CA441E"/>
    <w:rsid w:val="00CA4F0C"/>
    <w:rsid w:val="00CA52EC"/>
    <w:rsid w:val="00CA59B1"/>
    <w:rsid w:val="00CA60FC"/>
    <w:rsid w:val="00CA628A"/>
    <w:rsid w:val="00CA658E"/>
    <w:rsid w:val="00CA7BB7"/>
    <w:rsid w:val="00CB05DD"/>
    <w:rsid w:val="00CB0886"/>
    <w:rsid w:val="00CB08D5"/>
    <w:rsid w:val="00CB0FE2"/>
    <w:rsid w:val="00CB1401"/>
    <w:rsid w:val="00CB205E"/>
    <w:rsid w:val="00CB2961"/>
    <w:rsid w:val="00CB2A76"/>
    <w:rsid w:val="00CB316A"/>
    <w:rsid w:val="00CB39C4"/>
    <w:rsid w:val="00CB3B43"/>
    <w:rsid w:val="00CB4201"/>
    <w:rsid w:val="00CB454C"/>
    <w:rsid w:val="00CB4621"/>
    <w:rsid w:val="00CB495F"/>
    <w:rsid w:val="00CB607F"/>
    <w:rsid w:val="00CB6267"/>
    <w:rsid w:val="00CB645E"/>
    <w:rsid w:val="00CB655A"/>
    <w:rsid w:val="00CB655D"/>
    <w:rsid w:val="00CB6C08"/>
    <w:rsid w:val="00CB6C46"/>
    <w:rsid w:val="00CB725F"/>
    <w:rsid w:val="00CB759E"/>
    <w:rsid w:val="00CB79F7"/>
    <w:rsid w:val="00CC28AC"/>
    <w:rsid w:val="00CC3323"/>
    <w:rsid w:val="00CC45E0"/>
    <w:rsid w:val="00CC4C00"/>
    <w:rsid w:val="00CC54BD"/>
    <w:rsid w:val="00CC580B"/>
    <w:rsid w:val="00CC5CBD"/>
    <w:rsid w:val="00CC5F4E"/>
    <w:rsid w:val="00CC6338"/>
    <w:rsid w:val="00CD0032"/>
    <w:rsid w:val="00CD227C"/>
    <w:rsid w:val="00CD26B1"/>
    <w:rsid w:val="00CD2796"/>
    <w:rsid w:val="00CD454F"/>
    <w:rsid w:val="00CD55AE"/>
    <w:rsid w:val="00CD6245"/>
    <w:rsid w:val="00CD63D4"/>
    <w:rsid w:val="00CD6713"/>
    <w:rsid w:val="00CD6986"/>
    <w:rsid w:val="00CD6E10"/>
    <w:rsid w:val="00CD7158"/>
    <w:rsid w:val="00CD7856"/>
    <w:rsid w:val="00CD796E"/>
    <w:rsid w:val="00CD7F84"/>
    <w:rsid w:val="00CE0771"/>
    <w:rsid w:val="00CE0C57"/>
    <w:rsid w:val="00CE12F2"/>
    <w:rsid w:val="00CE1A4C"/>
    <w:rsid w:val="00CE223A"/>
    <w:rsid w:val="00CE293C"/>
    <w:rsid w:val="00CE2B1C"/>
    <w:rsid w:val="00CE2B92"/>
    <w:rsid w:val="00CE358F"/>
    <w:rsid w:val="00CE3F81"/>
    <w:rsid w:val="00CE471A"/>
    <w:rsid w:val="00CE5B39"/>
    <w:rsid w:val="00CE6C13"/>
    <w:rsid w:val="00CF0977"/>
    <w:rsid w:val="00CF0B65"/>
    <w:rsid w:val="00CF0EF1"/>
    <w:rsid w:val="00CF1131"/>
    <w:rsid w:val="00CF126D"/>
    <w:rsid w:val="00CF1352"/>
    <w:rsid w:val="00CF141D"/>
    <w:rsid w:val="00CF1D2B"/>
    <w:rsid w:val="00CF207F"/>
    <w:rsid w:val="00CF22B4"/>
    <w:rsid w:val="00CF2349"/>
    <w:rsid w:val="00CF26D1"/>
    <w:rsid w:val="00CF281F"/>
    <w:rsid w:val="00CF4813"/>
    <w:rsid w:val="00CF4A56"/>
    <w:rsid w:val="00CF4DED"/>
    <w:rsid w:val="00CF4E62"/>
    <w:rsid w:val="00CF6DF0"/>
    <w:rsid w:val="00CF704D"/>
    <w:rsid w:val="00CF76BF"/>
    <w:rsid w:val="00CF7C2E"/>
    <w:rsid w:val="00D012B8"/>
    <w:rsid w:val="00D021EE"/>
    <w:rsid w:val="00D02294"/>
    <w:rsid w:val="00D03672"/>
    <w:rsid w:val="00D038D9"/>
    <w:rsid w:val="00D03E6D"/>
    <w:rsid w:val="00D04199"/>
    <w:rsid w:val="00D04269"/>
    <w:rsid w:val="00D06A73"/>
    <w:rsid w:val="00D07C7F"/>
    <w:rsid w:val="00D07D6F"/>
    <w:rsid w:val="00D104D3"/>
    <w:rsid w:val="00D10592"/>
    <w:rsid w:val="00D10C69"/>
    <w:rsid w:val="00D11A0A"/>
    <w:rsid w:val="00D1256F"/>
    <w:rsid w:val="00D13116"/>
    <w:rsid w:val="00D13506"/>
    <w:rsid w:val="00D1444E"/>
    <w:rsid w:val="00D14A3F"/>
    <w:rsid w:val="00D168A9"/>
    <w:rsid w:val="00D16CB3"/>
    <w:rsid w:val="00D17044"/>
    <w:rsid w:val="00D17742"/>
    <w:rsid w:val="00D179CE"/>
    <w:rsid w:val="00D17A3D"/>
    <w:rsid w:val="00D2059A"/>
    <w:rsid w:val="00D2081E"/>
    <w:rsid w:val="00D21872"/>
    <w:rsid w:val="00D21E55"/>
    <w:rsid w:val="00D22BD6"/>
    <w:rsid w:val="00D22E34"/>
    <w:rsid w:val="00D234C0"/>
    <w:rsid w:val="00D2356E"/>
    <w:rsid w:val="00D23D24"/>
    <w:rsid w:val="00D24291"/>
    <w:rsid w:val="00D25284"/>
    <w:rsid w:val="00D25447"/>
    <w:rsid w:val="00D26F33"/>
    <w:rsid w:val="00D30223"/>
    <w:rsid w:val="00D30F58"/>
    <w:rsid w:val="00D3231A"/>
    <w:rsid w:val="00D32606"/>
    <w:rsid w:val="00D32F1F"/>
    <w:rsid w:val="00D333F5"/>
    <w:rsid w:val="00D3406F"/>
    <w:rsid w:val="00D3453F"/>
    <w:rsid w:val="00D34781"/>
    <w:rsid w:val="00D349AB"/>
    <w:rsid w:val="00D35311"/>
    <w:rsid w:val="00D35AF4"/>
    <w:rsid w:val="00D35BE0"/>
    <w:rsid w:val="00D35C3B"/>
    <w:rsid w:val="00D36530"/>
    <w:rsid w:val="00D368F3"/>
    <w:rsid w:val="00D37D45"/>
    <w:rsid w:val="00D4053F"/>
    <w:rsid w:val="00D406D9"/>
    <w:rsid w:val="00D40D83"/>
    <w:rsid w:val="00D411DB"/>
    <w:rsid w:val="00D43619"/>
    <w:rsid w:val="00D445C6"/>
    <w:rsid w:val="00D44611"/>
    <w:rsid w:val="00D44C54"/>
    <w:rsid w:val="00D452AA"/>
    <w:rsid w:val="00D464EC"/>
    <w:rsid w:val="00D464F1"/>
    <w:rsid w:val="00D4720D"/>
    <w:rsid w:val="00D50791"/>
    <w:rsid w:val="00D50B8E"/>
    <w:rsid w:val="00D52FDC"/>
    <w:rsid w:val="00D54290"/>
    <w:rsid w:val="00D553B8"/>
    <w:rsid w:val="00D556DA"/>
    <w:rsid w:val="00D5628F"/>
    <w:rsid w:val="00D56531"/>
    <w:rsid w:val="00D56E5F"/>
    <w:rsid w:val="00D60358"/>
    <w:rsid w:val="00D6038A"/>
    <w:rsid w:val="00D619F6"/>
    <w:rsid w:val="00D62661"/>
    <w:rsid w:val="00D63382"/>
    <w:rsid w:val="00D639A0"/>
    <w:rsid w:val="00D63C74"/>
    <w:rsid w:val="00D6793F"/>
    <w:rsid w:val="00D67B0C"/>
    <w:rsid w:val="00D67E47"/>
    <w:rsid w:val="00D70A81"/>
    <w:rsid w:val="00D7161A"/>
    <w:rsid w:val="00D71C9C"/>
    <w:rsid w:val="00D734E4"/>
    <w:rsid w:val="00D73958"/>
    <w:rsid w:val="00D73B20"/>
    <w:rsid w:val="00D75374"/>
    <w:rsid w:val="00D754EC"/>
    <w:rsid w:val="00D7563C"/>
    <w:rsid w:val="00D756DC"/>
    <w:rsid w:val="00D75878"/>
    <w:rsid w:val="00D75D5A"/>
    <w:rsid w:val="00D75DC2"/>
    <w:rsid w:val="00D76CE4"/>
    <w:rsid w:val="00D80CB2"/>
    <w:rsid w:val="00D81CF9"/>
    <w:rsid w:val="00D81E84"/>
    <w:rsid w:val="00D83744"/>
    <w:rsid w:val="00D83C5C"/>
    <w:rsid w:val="00D84952"/>
    <w:rsid w:val="00D8649F"/>
    <w:rsid w:val="00D865EA"/>
    <w:rsid w:val="00D86C6B"/>
    <w:rsid w:val="00D87283"/>
    <w:rsid w:val="00D9047E"/>
    <w:rsid w:val="00D9070B"/>
    <w:rsid w:val="00D90C37"/>
    <w:rsid w:val="00D90C82"/>
    <w:rsid w:val="00D90F35"/>
    <w:rsid w:val="00D931E8"/>
    <w:rsid w:val="00D93E9D"/>
    <w:rsid w:val="00D94785"/>
    <w:rsid w:val="00D94BB1"/>
    <w:rsid w:val="00D94D4D"/>
    <w:rsid w:val="00D95727"/>
    <w:rsid w:val="00D95E42"/>
    <w:rsid w:val="00D96C02"/>
    <w:rsid w:val="00D97659"/>
    <w:rsid w:val="00D97839"/>
    <w:rsid w:val="00D9788C"/>
    <w:rsid w:val="00DA019A"/>
    <w:rsid w:val="00DA029E"/>
    <w:rsid w:val="00DA04AA"/>
    <w:rsid w:val="00DA0A1D"/>
    <w:rsid w:val="00DA0EE8"/>
    <w:rsid w:val="00DA15EC"/>
    <w:rsid w:val="00DA2E9E"/>
    <w:rsid w:val="00DA324B"/>
    <w:rsid w:val="00DA3399"/>
    <w:rsid w:val="00DA3945"/>
    <w:rsid w:val="00DA4A47"/>
    <w:rsid w:val="00DA6177"/>
    <w:rsid w:val="00DA62AD"/>
    <w:rsid w:val="00DA7137"/>
    <w:rsid w:val="00DA7736"/>
    <w:rsid w:val="00DB0277"/>
    <w:rsid w:val="00DB15C1"/>
    <w:rsid w:val="00DB174D"/>
    <w:rsid w:val="00DB181C"/>
    <w:rsid w:val="00DB2B5F"/>
    <w:rsid w:val="00DB3594"/>
    <w:rsid w:val="00DB545D"/>
    <w:rsid w:val="00DB571C"/>
    <w:rsid w:val="00DB5860"/>
    <w:rsid w:val="00DB5D88"/>
    <w:rsid w:val="00DB5E0E"/>
    <w:rsid w:val="00DB62F7"/>
    <w:rsid w:val="00DB6833"/>
    <w:rsid w:val="00DB6CF9"/>
    <w:rsid w:val="00DB6E07"/>
    <w:rsid w:val="00DB6E33"/>
    <w:rsid w:val="00DB6E45"/>
    <w:rsid w:val="00DB7C7D"/>
    <w:rsid w:val="00DC2D77"/>
    <w:rsid w:val="00DC308A"/>
    <w:rsid w:val="00DC483D"/>
    <w:rsid w:val="00DC4BF5"/>
    <w:rsid w:val="00DC5343"/>
    <w:rsid w:val="00DC5CF1"/>
    <w:rsid w:val="00DC68D9"/>
    <w:rsid w:val="00DC79BD"/>
    <w:rsid w:val="00DC7F01"/>
    <w:rsid w:val="00DD0994"/>
    <w:rsid w:val="00DD122F"/>
    <w:rsid w:val="00DD1688"/>
    <w:rsid w:val="00DD169C"/>
    <w:rsid w:val="00DD2E03"/>
    <w:rsid w:val="00DD2F67"/>
    <w:rsid w:val="00DD3EAE"/>
    <w:rsid w:val="00DD4080"/>
    <w:rsid w:val="00DD45DE"/>
    <w:rsid w:val="00DD498A"/>
    <w:rsid w:val="00DD527A"/>
    <w:rsid w:val="00DE0252"/>
    <w:rsid w:val="00DE18BA"/>
    <w:rsid w:val="00DE26A0"/>
    <w:rsid w:val="00DE2A7A"/>
    <w:rsid w:val="00DE3258"/>
    <w:rsid w:val="00DE3284"/>
    <w:rsid w:val="00DE38FF"/>
    <w:rsid w:val="00DE3945"/>
    <w:rsid w:val="00DE481F"/>
    <w:rsid w:val="00DE5EAB"/>
    <w:rsid w:val="00DE737D"/>
    <w:rsid w:val="00DE77BC"/>
    <w:rsid w:val="00DE7834"/>
    <w:rsid w:val="00DF00CB"/>
    <w:rsid w:val="00DF0A14"/>
    <w:rsid w:val="00DF10A1"/>
    <w:rsid w:val="00DF1B08"/>
    <w:rsid w:val="00DF2362"/>
    <w:rsid w:val="00DF3942"/>
    <w:rsid w:val="00DF3F51"/>
    <w:rsid w:val="00DF48DA"/>
    <w:rsid w:val="00DF496C"/>
    <w:rsid w:val="00DF4D5A"/>
    <w:rsid w:val="00DF52C0"/>
    <w:rsid w:val="00DF600A"/>
    <w:rsid w:val="00DF6BE4"/>
    <w:rsid w:val="00DF7539"/>
    <w:rsid w:val="00DF7968"/>
    <w:rsid w:val="00E00CE8"/>
    <w:rsid w:val="00E01EFD"/>
    <w:rsid w:val="00E025F9"/>
    <w:rsid w:val="00E0263B"/>
    <w:rsid w:val="00E03D1C"/>
    <w:rsid w:val="00E03DB9"/>
    <w:rsid w:val="00E04143"/>
    <w:rsid w:val="00E04256"/>
    <w:rsid w:val="00E047EA"/>
    <w:rsid w:val="00E05A0C"/>
    <w:rsid w:val="00E060D6"/>
    <w:rsid w:val="00E066C0"/>
    <w:rsid w:val="00E06F2C"/>
    <w:rsid w:val="00E0719B"/>
    <w:rsid w:val="00E07E6F"/>
    <w:rsid w:val="00E1135E"/>
    <w:rsid w:val="00E11D52"/>
    <w:rsid w:val="00E12ED8"/>
    <w:rsid w:val="00E13911"/>
    <w:rsid w:val="00E14481"/>
    <w:rsid w:val="00E146B1"/>
    <w:rsid w:val="00E148D7"/>
    <w:rsid w:val="00E14A6B"/>
    <w:rsid w:val="00E15C82"/>
    <w:rsid w:val="00E1707B"/>
    <w:rsid w:val="00E1757A"/>
    <w:rsid w:val="00E17D0E"/>
    <w:rsid w:val="00E21630"/>
    <w:rsid w:val="00E217A4"/>
    <w:rsid w:val="00E219E0"/>
    <w:rsid w:val="00E21E1B"/>
    <w:rsid w:val="00E21FEE"/>
    <w:rsid w:val="00E2237D"/>
    <w:rsid w:val="00E22D5B"/>
    <w:rsid w:val="00E22FEF"/>
    <w:rsid w:val="00E23658"/>
    <w:rsid w:val="00E2366A"/>
    <w:rsid w:val="00E25357"/>
    <w:rsid w:val="00E264AF"/>
    <w:rsid w:val="00E26FFA"/>
    <w:rsid w:val="00E2794B"/>
    <w:rsid w:val="00E27BC8"/>
    <w:rsid w:val="00E27F8E"/>
    <w:rsid w:val="00E302C9"/>
    <w:rsid w:val="00E3035D"/>
    <w:rsid w:val="00E30556"/>
    <w:rsid w:val="00E3055C"/>
    <w:rsid w:val="00E326AC"/>
    <w:rsid w:val="00E32F56"/>
    <w:rsid w:val="00E335F2"/>
    <w:rsid w:val="00E34F0E"/>
    <w:rsid w:val="00E35284"/>
    <w:rsid w:val="00E35375"/>
    <w:rsid w:val="00E36310"/>
    <w:rsid w:val="00E366E0"/>
    <w:rsid w:val="00E36A5E"/>
    <w:rsid w:val="00E3743B"/>
    <w:rsid w:val="00E3776A"/>
    <w:rsid w:val="00E37C4E"/>
    <w:rsid w:val="00E40BFE"/>
    <w:rsid w:val="00E419D4"/>
    <w:rsid w:val="00E41F39"/>
    <w:rsid w:val="00E42E03"/>
    <w:rsid w:val="00E43CA7"/>
    <w:rsid w:val="00E43CD3"/>
    <w:rsid w:val="00E44702"/>
    <w:rsid w:val="00E447AE"/>
    <w:rsid w:val="00E4486C"/>
    <w:rsid w:val="00E44CB5"/>
    <w:rsid w:val="00E45206"/>
    <w:rsid w:val="00E455C2"/>
    <w:rsid w:val="00E45E89"/>
    <w:rsid w:val="00E45EED"/>
    <w:rsid w:val="00E46BE0"/>
    <w:rsid w:val="00E471C8"/>
    <w:rsid w:val="00E47686"/>
    <w:rsid w:val="00E50A3A"/>
    <w:rsid w:val="00E51067"/>
    <w:rsid w:val="00E5149E"/>
    <w:rsid w:val="00E52566"/>
    <w:rsid w:val="00E531E5"/>
    <w:rsid w:val="00E55310"/>
    <w:rsid w:val="00E5599B"/>
    <w:rsid w:val="00E55B42"/>
    <w:rsid w:val="00E5600D"/>
    <w:rsid w:val="00E57147"/>
    <w:rsid w:val="00E6015E"/>
    <w:rsid w:val="00E605D5"/>
    <w:rsid w:val="00E6060D"/>
    <w:rsid w:val="00E608AD"/>
    <w:rsid w:val="00E61163"/>
    <w:rsid w:val="00E619DB"/>
    <w:rsid w:val="00E62E1F"/>
    <w:rsid w:val="00E6347A"/>
    <w:rsid w:val="00E637C9"/>
    <w:rsid w:val="00E638C4"/>
    <w:rsid w:val="00E63BBD"/>
    <w:rsid w:val="00E65270"/>
    <w:rsid w:val="00E66A50"/>
    <w:rsid w:val="00E66BAA"/>
    <w:rsid w:val="00E66DA2"/>
    <w:rsid w:val="00E677D3"/>
    <w:rsid w:val="00E679F3"/>
    <w:rsid w:val="00E67ABB"/>
    <w:rsid w:val="00E70988"/>
    <w:rsid w:val="00E70F64"/>
    <w:rsid w:val="00E715AE"/>
    <w:rsid w:val="00E71D26"/>
    <w:rsid w:val="00E71EC0"/>
    <w:rsid w:val="00E72F9B"/>
    <w:rsid w:val="00E73090"/>
    <w:rsid w:val="00E745D8"/>
    <w:rsid w:val="00E74CB1"/>
    <w:rsid w:val="00E76252"/>
    <w:rsid w:val="00E76B03"/>
    <w:rsid w:val="00E76B21"/>
    <w:rsid w:val="00E76BA4"/>
    <w:rsid w:val="00E775AD"/>
    <w:rsid w:val="00E77D32"/>
    <w:rsid w:val="00E77F8C"/>
    <w:rsid w:val="00E807D8"/>
    <w:rsid w:val="00E809CC"/>
    <w:rsid w:val="00E8157B"/>
    <w:rsid w:val="00E815D0"/>
    <w:rsid w:val="00E8228C"/>
    <w:rsid w:val="00E82932"/>
    <w:rsid w:val="00E8319A"/>
    <w:rsid w:val="00E86121"/>
    <w:rsid w:val="00E8682B"/>
    <w:rsid w:val="00E8694F"/>
    <w:rsid w:val="00E86B15"/>
    <w:rsid w:val="00E86ED4"/>
    <w:rsid w:val="00E86FEB"/>
    <w:rsid w:val="00E906A1"/>
    <w:rsid w:val="00E9142C"/>
    <w:rsid w:val="00E91D75"/>
    <w:rsid w:val="00E931DC"/>
    <w:rsid w:val="00E938B7"/>
    <w:rsid w:val="00E94607"/>
    <w:rsid w:val="00E954FD"/>
    <w:rsid w:val="00E964C1"/>
    <w:rsid w:val="00E97D97"/>
    <w:rsid w:val="00EA2EEB"/>
    <w:rsid w:val="00EA3676"/>
    <w:rsid w:val="00EA3E7A"/>
    <w:rsid w:val="00EA4566"/>
    <w:rsid w:val="00EA491F"/>
    <w:rsid w:val="00EA55AC"/>
    <w:rsid w:val="00EA5C6D"/>
    <w:rsid w:val="00EA6453"/>
    <w:rsid w:val="00EB022C"/>
    <w:rsid w:val="00EB0809"/>
    <w:rsid w:val="00EB1BD2"/>
    <w:rsid w:val="00EB2A3F"/>
    <w:rsid w:val="00EB3743"/>
    <w:rsid w:val="00EB3B76"/>
    <w:rsid w:val="00EB3BB1"/>
    <w:rsid w:val="00EB5C34"/>
    <w:rsid w:val="00EB5E86"/>
    <w:rsid w:val="00EB669D"/>
    <w:rsid w:val="00EB695E"/>
    <w:rsid w:val="00EB6CD0"/>
    <w:rsid w:val="00EB77DC"/>
    <w:rsid w:val="00EB7C68"/>
    <w:rsid w:val="00EB7EC8"/>
    <w:rsid w:val="00EC001E"/>
    <w:rsid w:val="00EC18C1"/>
    <w:rsid w:val="00EC2136"/>
    <w:rsid w:val="00EC276C"/>
    <w:rsid w:val="00EC2ED0"/>
    <w:rsid w:val="00EC2FF5"/>
    <w:rsid w:val="00EC3337"/>
    <w:rsid w:val="00EC339A"/>
    <w:rsid w:val="00EC3675"/>
    <w:rsid w:val="00EC43CC"/>
    <w:rsid w:val="00EC479F"/>
    <w:rsid w:val="00EC4F20"/>
    <w:rsid w:val="00EC579F"/>
    <w:rsid w:val="00EC5A17"/>
    <w:rsid w:val="00EC662B"/>
    <w:rsid w:val="00EC68A0"/>
    <w:rsid w:val="00EC6A70"/>
    <w:rsid w:val="00EC6A9D"/>
    <w:rsid w:val="00EC6BF1"/>
    <w:rsid w:val="00EC78D9"/>
    <w:rsid w:val="00EC7D6E"/>
    <w:rsid w:val="00EC7EEA"/>
    <w:rsid w:val="00ED0D60"/>
    <w:rsid w:val="00ED182B"/>
    <w:rsid w:val="00ED239B"/>
    <w:rsid w:val="00ED2D06"/>
    <w:rsid w:val="00ED2F5B"/>
    <w:rsid w:val="00ED319B"/>
    <w:rsid w:val="00ED3889"/>
    <w:rsid w:val="00ED38FB"/>
    <w:rsid w:val="00ED3D1D"/>
    <w:rsid w:val="00ED5C55"/>
    <w:rsid w:val="00ED689A"/>
    <w:rsid w:val="00ED7919"/>
    <w:rsid w:val="00ED7C5D"/>
    <w:rsid w:val="00EE2CFA"/>
    <w:rsid w:val="00EE2DAB"/>
    <w:rsid w:val="00EE2EBE"/>
    <w:rsid w:val="00EE30D3"/>
    <w:rsid w:val="00EE3271"/>
    <w:rsid w:val="00EE3567"/>
    <w:rsid w:val="00EE41CC"/>
    <w:rsid w:val="00EE427F"/>
    <w:rsid w:val="00EE46DF"/>
    <w:rsid w:val="00EE586D"/>
    <w:rsid w:val="00EE5C98"/>
    <w:rsid w:val="00EE5CD3"/>
    <w:rsid w:val="00EE61D5"/>
    <w:rsid w:val="00EE72DA"/>
    <w:rsid w:val="00EE7898"/>
    <w:rsid w:val="00EF0BA6"/>
    <w:rsid w:val="00EF0D68"/>
    <w:rsid w:val="00EF1A5C"/>
    <w:rsid w:val="00EF22E6"/>
    <w:rsid w:val="00EF2492"/>
    <w:rsid w:val="00EF3635"/>
    <w:rsid w:val="00EF471B"/>
    <w:rsid w:val="00EF4EA5"/>
    <w:rsid w:val="00EF4F14"/>
    <w:rsid w:val="00EF602C"/>
    <w:rsid w:val="00EF741E"/>
    <w:rsid w:val="00F00276"/>
    <w:rsid w:val="00F008C3"/>
    <w:rsid w:val="00F00A2B"/>
    <w:rsid w:val="00F0153B"/>
    <w:rsid w:val="00F01E69"/>
    <w:rsid w:val="00F01EF1"/>
    <w:rsid w:val="00F02B47"/>
    <w:rsid w:val="00F04027"/>
    <w:rsid w:val="00F04F27"/>
    <w:rsid w:val="00F0788E"/>
    <w:rsid w:val="00F07E76"/>
    <w:rsid w:val="00F10336"/>
    <w:rsid w:val="00F10824"/>
    <w:rsid w:val="00F12B2B"/>
    <w:rsid w:val="00F12E22"/>
    <w:rsid w:val="00F12EA2"/>
    <w:rsid w:val="00F1664F"/>
    <w:rsid w:val="00F16B8F"/>
    <w:rsid w:val="00F17AFC"/>
    <w:rsid w:val="00F211E6"/>
    <w:rsid w:val="00F211F1"/>
    <w:rsid w:val="00F23035"/>
    <w:rsid w:val="00F237CF"/>
    <w:rsid w:val="00F25834"/>
    <w:rsid w:val="00F26464"/>
    <w:rsid w:val="00F27965"/>
    <w:rsid w:val="00F30C0A"/>
    <w:rsid w:val="00F3102C"/>
    <w:rsid w:val="00F32233"/>
    <w:rsid w:val="00F328BF"/>
    <w:rsid w:val="00F32D76"/>
    <w:rsid w:val="00F33A5B"/>
    <w:rsid w:val="00F33FD6"/>
    <w:rsid w:val="00F34228"/>
    <w:rsid w:val="00F346D4"/>
    <w:rsid w:val="00F359FE"/>
    <w:rsid w:val="00F362E0"/>
    <w:rsid w:val="00F37921"/>
    <w:rsid w:val="00F41651"/>
    <w:rsid w:val="00F4353A"/>
    <w:rsid w:val="00F43D1E"/>
    <w:rsid w:val="00F44822"/>
    <w:rsid w:val="00F45440"/>
    <w:rsid w:val="00F47816"/>
    <w:rsid w:val="00F478B2"/>
    <w:rsid w:val="00F502B8"/>
    <w:rsid w:val="00F50484"/>
    <w:rsid w:val="00F523B6"/>
    <w:rsid w:val="00F529F1"/>
    <w:rsid w:val="00F52E32"/>
    <w:rsid w:val="00F530DF"/>
    <w:rsid w:val="00F532D1"/>
    <w:rsid w:val="00F53CD5"/>
    <w:rsid w:val="00F53D26"/>
    <w:rsid w:val="00F54381"/>
    <w:rsid w:val="00F54F10"/>
    <w:rsid w:val="00F55526"/>
    <w:rsid w:val="00F55C03"/>
    <w:rsid w:val="00F56855"/>
    <w:rsid w:val="00F56C16"/>
    <w:rsid w:val="00F57366"/>
    <w:rsid w:val="00F57CB7"/>
    <w:rsid w:val="00F60567"/>
    <w:rsid w:val="00F61934"/>
    <w:rsid w:val="00F61C82"/>
    <w:rsid w:val="00F63253"/>
    <w:rsid w:val="00F6370A"/>
    <w:rsid w:val="00F63FA0"/>
    <w:rsid w:val="00F63FC0"/>
    <w:rsid w:val="00F65901"/>
    <w:rsid w:val="00F65972"/>
    <w:rsid w:val="00F671DE"/>
    <w:rsid w:val="00F67240"/>
    <w:rsid w:val="00F674C4"/>
    <w:rsid w:val="00F678A8"/>
    <w:rsid w:val="00F70330"/>
    <w:rsid w:val="00F730D2"/>
    <w:rsid w:val="00F734F7"/>
    <w:rsid w:val="00F73692"/>
    <w:rsid w:val="00F74E21"/>
    <w:rsid w:val="00F76350"/>
    <w:rsid w:val="00F801C6"/>
    <w:rsid w:val="00F8110A"/>
    <w:rsid w:val="00F81BB5"/>
    <w:rsid w:val="00F83578"/>
    <w:rsid w:val="00F8385F"/>
    <w:rsid w:val="00F840DC"/>
    <w:rsid w:val="00F84B37"/>
    <w:rsid w:val="00F8580A"/>
    <w:rsid w:val="00F8587A"/>
    <w:rsid w:val="00F86223"/>
    <w:rsid w:val="00F86C29"/>
    <w:rsid w:val="00F873BC"/>
    <w:rsid w:val="00F877E8"/>
    <w:rsid w:val="00F904ED"/>
    <w:rsid w:val="00F909D8"/>
    <w:rsid w:val="00F90B76"/>
    <w:rsid w:val="00F90D71"/>
    <w:rsid w:val="00F910AC"/>
    <w:rsid w:val="00F91D5E"/>
    <w:rsid w:val="00F924AF"/>
    <w:rsid w:val="00F928EC"/>
    <w:rsid w:val="00F94346"/>
    <w:rsid w:val="00F94D0D"/>
    <w:rsid w:val="00F95FF6"/>
    <w:rsid w:val="00F960F5"/>
    <w:rsid w:val="00F97256"/>
    <w:rsid w:val="00F973FC"/>
    <w:rsid w:val="00FA05BA"/>
    <w:rsid w:val="00FA10E3"/>
    <w:rsid w:val="00FA14B2"/>
    <w:rsid w:val="00FA2010"/>
    <w:rsid w:val="00FA3961"/>
    <w:rsid w:val="00FA41DA"/>
    <w:rsid w:val="00FA499A"/>
    <w:rsid w:val="00FA4C37"/>
    <w:rsid w:val="00FA5356"/>
    <w:rsid w:val="00FA6AE8"/>
    <w:rsid w:val="00FA6BAA"/>
    <w:rsid w:val="00FA75B3"/>
    <w:rsid w:val="00FA76E3"/>
    <w:rsid w:val="00FA7F24"/>
    <w:rsid w:val="00FB0505"/>
    <w:rsid w:val="00FB0625"/>
    <w:rsid w:val="00FB1B2D"/>
    <w:rsid w:val="00FB31C4"/>
    <w:rsid w:val="00FB3374"/>
    <w:rsid w:val="00FB369F"/>
    <w:rsid w:val="00FB3795"/>
    <w:rsid w:val="00FB459C"/>
    <w:rsid w:val="00FB48C6"/>
    <w:rsid w:val="00FB53C8"/>
    <w:rsid w:val="00FB5BFE"/>
    <w:rsid w:val="00FB5C1C"/>
    <w:rsid w:val="00FB5DCC"/>
    <w:rsid w:val="00FB6A80"/>
    <w:rsid w:val="00FB780A"/>
    <w:rsid w:val="00FC0A32"/>
    <w:rsid w:val="00FC0A62"/>
    <w:rsid w:val="00FC5190"/>
    <w:rsid w:val="00FC615B"/>
    <w:rsid w:val="00FC72F3"/>
    <w:rsid w:val="00FC7611"/>
    <w:rsid w:val="00FC7A63"/>
    <w:rsid w:val="00FC7C59"/>
    <w:rsid w:val="00FD00A1"/>
    <w:rsid w:val="00FD045B"/>
    <w:rsid w:val="00FD0AA3"/>
    <w:rsid w:val="00FD12FE"/>
    <w:rsid w:val="00FD1817"/>
    <w:rsid w:val="00FD1EC8"/>
    <w:rsid w:val="00FD2D2B"/>
    <w:rsid w:val="00FD3BEB"/>
    <w:rsid w:val="00FD3FF9"/>
    <w:rsid w:val="00FD4715"/>
    <w:rsid w:val="00FD4889"/>
    <w:rsid w:val="00FD57A5"/>
    <w:rsid w:val="00FD5961"/>
    <w:rsid w:val="00FD5A26"/>
    <w:rsid w:val="00FD7271"/>
    <w:rsid w:val="00FD792E"/>
    <w:rsid w:val="00FE0062"/>
    <w:rsid w:val="00FE0512"/>
    <w:rsid w:val="00FE0828"/>
    <w:rsid w:val="00FE0D3F"/>
    <w:rsid w:val="00FE24C7"/>
    <w:rsid w:val="00FE2E4F"/>
    <w:rsid w:val="00FE458D"/>
    <w:rsid w:val="00FE47CE"/>
    <w:rsid w:val="00FE4DC1"/>
    <w:rsid w:val="00FE6332"/>
    <w:rsid w:val="00FE68EE"/>
    <w:rsid w:val="00FE68EF"/>
    <w:rsid w:val="00FE74AD"/>
    <w:rsid w:val="00FE7695"/>
    <w:rsid w:val="00FF110C"/>
    <w:rsid w:val="00FF1351"/>
    <w:rsid w:val="00FF1600"/>
    <w:rsid w:val="00FF165B"/>
    <w:rsid w:val="00FF17F7"/>
    <w:rsid w:val="00FF1C97"/>
    <w:rsid w:val="00FF365F"/>
    <w:rsid w:val="00FF4170"/>
    <w:rsid w:val="00FF480F"/>
    <w:rsid w:val="00FF51C9"/>
    <w:rsid w:val="00FF56C2"/>
    <w:rsid w:val="00FF6697"/>
    <w:rsid w:val="00FF6857"/>
    <w:rsid w:val="00FF6F85"/>
    <w:rsid w:val="00FF716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0C50E3"/>
  <w15:chartTrackingRefBased/>
  <w15:docId w15:val="{B02AB960-CAA1-4AF2-80BD-AD8921AF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spacing w:after="120"/>
      <w:jc w:val="both"/>
      <w:outlineLvl w:val="2"/>
    </w:pPr>
    <w:rPr>
      <w:b/>
      <w:lang w:val="en-US"/>
    </w:rPr>
  </w:style>
  <w:style w:type="paragraph" w:styleId="Heading4">
    <w:name w:val="heading 4"/>
    <w:basedOn w:val="Normal"/>
    <w:next w:val="Normal"/>
    <w:qFormat/>
    <w:pPr>
      <w:keepNext/>
      <w:keepLines/>
      <w:ind w:left="425"/>
      <w:jc w:val="both"/>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US"/>
    </w:rPr>
  </w:style>
  <w:style w:type="paragraph" w:styleId="BodyText2">
    <w:name w:val="Body Text 2"/>
    <w:basedOn w:val="Normal"/>
    <w:pPr>
      <w:spacing w:after="120"/>
      <w:ind w:right="-366"/>
    </w:pPr>
    <w:rPr>
      <w:lang w:val="en-US"/>
    </w:r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jc w:val="both"/>
    </w:pPr>
    <w:rPr>
      <w:spacing w:val="-2"/>
    </w:rPr>
  </w:style>
  <w:style w:type="paragraph" w:styleId="ListNumber">
    <w:name w:val="List Number"/>
    <w:basedOn w:val="Normal"/>
    <w:pPr>
      <w:numPr>
        <w:numId w:val="1"/>
      </w:numPr>
    </w:pPr>
  </w:style>
  <w:style w:type="paragraph" w:styleId="BodyTextIndent">
    <w:name w:val="Body Text Indent"/>
    <w:basedOn w:val="Normal"/>
    <w:pPr>
      <w:spacing w:before="100" w:after="100"/>
      <w:ind w:left="720" w:hanging="720"/>
      <w:jc w:val="both"/>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spacing w:after="120"/>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jc w:val="both"/>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after="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after="120"/>
    </w:pPr>
    <w:rPr>
      <w:rFonts w:ascii="Officina Sans ITC TT" w:hAnsi="Officina Sans ITC TT"/>
    </w:rPr>
  </w:style>
  <w:style w:type="paragraph" w:customStyle="1" w:styleId="N5">
    <w:name w:val="N5"/>
    <w:basedOn w:val="N4"/>
    <w:pPr>
      <w:numPr>
        <w:ilvl w:val="0"/>
        <w:numId w:val="0"/>
      </w:numPr>
      <w:tabs>
        <w:tab w:val="num" w:pos="360"/>
        <w:tab w:val="num" w:pos="3600"/>
      </w:tabs>
      <w:ind w:left="3600" w:hanging="360"/>
    </w:pPr>
  </w:style>
  <w:style w:type="paragraph" w:customStyle="1" w:styleId="N4">
    <w:name w:val="N4"/>
    <w:basedOn w:val="N3"/>
    <w:pPr>
      <w:numPr>
        <w:ilvl w:val="3"/>
      </w:numPr>
      <w:tabs>
        <w:tab w:val="clear" w:pos="1134"/>
        <w:tab w:val="num" w:pos="2880"/>
      </w:tabs>
      <w:ind w:left="2880" w:hanging="360"/>
    </w:pPr>
  </w:style>
  <w:style w:type="paragraph" w:customStyle="1" w:styleId="N3">
    <w:name w:val="N3"/>
    <w:basedOn w:val="N2"/>
    <w:pPr>
      <w:numPr>
        <w:ilvl w:val="2"/>
      </w:numPr>
      <w:tabs>
        <w:tab w:val="clear" w:pos="737"/>
        <w:tab w:val="num" w:pos="2160"/>
      </w:tabs>
      <w:ind w:left="2160" w:hanging="180"/>
    </w:pPr>
  </w:style>
  <w:style w:type="paragraph" w:customStyle="1" w:styleId="N2">
    <w:name w:val="N2"/>
    <w:basedOn w:val="N1"/>
    <w:pPr>
      <w:numPr>
        <w:ilvl w:val="1"/>
      </w:numPr>
      <w:tabs>
        <w:tab w:val="num" w:pos="1440"/>
      </w:tabs>
      <w:spacing w:before="80"/>
      <w:ind w:left="1440" w:hanging="360"/>
    </w:pPr>
  </w:style>
  <w:style w:type="paragraph" w:customStyle="1" w:styleId="N1">
    <w:name w:val="N1"/>
    <w:basedOn w:val="Normal"/>
    <w:pPr>
      <w:numPr>
        <w:numId w:val="3"/>
      </w:numPr>
      <w:spacing w:before="160" w:line="220" w:lineRule="atLeast"/>
      <w:jc w:val="both"/>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34"/>
    <w:qFormat/>
    <w:rsid w:val="00820644"/>
    <w:pPr>
      <w:spacing w:after="200" w:line="276" w:lineRule="auto"/>
      <w:ind w:left="720"/>
      <w:contextualSpacing/>
    </w:pPr>
    <w:rPr>
      <w:rFonts w:ascii="Arial" w:eastAsia="Calibri" w:hAnsi="Arial" w:cs="Arial"/>
      <w:sz w:val="22"/>
      <w:szCs w:val="22"/>
    </w:rPr>
  </w:style>
  <w:style w:type="character" w:customStyle="1" w:styleId="HeaderChar">
    <w:name w:val="Header Char"/>
    <w:link w:val="Header"/>
    <w:uiPriority w:val="99"/>
    <w:rsid w:val="00F34228"/>
    <w:rPr>
      <w:sz w:val="24"/>
      <w:lang w:eastAsia="en-US"/>
    </w:rPr>
  </w:style>
  <w:style w:type="paragraph" w:styleId="BalloonText">
    <w:name w:val="Balloon Text"/>
    <w:basedOn w:val="Normal"/>
    <w:link w:val="BalloonTextChar"/>
    <w:rsid w:val="00F34228"/>
    <w:rPr>
      <w:rFonts w:ascii="Tahoma" w:hAnsi="Tahoma"/>
      <w:sz w:val="16"/>
      <w:szCs w:val="16"/>
      <w:lang w:val="x-none"/>
    </w:rPr>
  </w:style>
  <w:style w:type="character" w:customStyle="1" w:styleId="BalloonTextChar">
    <w:name w:val="Balloon Text Char"/>
    <w:link w:val="BalloonText"/>
    <w:rsid w:val="00F34228"/>
    <w:rPr>
      <w:rFonts w:ascii="Tahoma" w:hAnsi="Tahoma" w:cs="Tahoma"/>
      <w:sz w:val="16"/>
      <w:szCs w:val="16"/>
      <w:lang w:eastAsia="en-US"/>
    </w:rPr>
  </w:style>
  <w:style w:type="table" w:styleId="TableGrid">
    <w:name w:val="Table Grid"/>
    <w:basedOn w:val="TableNormal"/>
    <w:uiPriority w:val="59"/>
    <w:rsid w:val="009D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1BEF"/>
    <w:rPr>
      <w:rFonts w:ascii="Calibri" w:eastAsia="Calibri" w:hAnsi="Calibri"/>
      <w:sz w:val="22"/>
      <w:szCs w:val="22"/>
      <w:lang w:eastAsia="en-US"/>
    </w:rPr>
  </w:style>
  <w:style w:type="character" w:styleId="CommentReference">
    <w:name w:val="annotation reference"/>
    <w:rsid w:val="00496CB6"/>
    <w:rPr>
      <w:sz w:val="16"/>
      <w:szCs w:val="16"/>
    </w:rPr>
  </w:style>
  <w:style w:type="paragraph" w:styleId="CommentText">
    <w:name w:val="annotation text"/>
    <w:basedOn w:val="Normal"/>
    <w:link w:val="CommentTextChar"/>
    <w:rsid w:val="00496CB6"/>
    <w:rPr>
      <w:sz w:val="20"/>
    </w:rPr>
  </w:style>
  <w:style w:type="character" w:customStyle="1" w:styleId="CommentTextChar">
    <w:name w:val="Comment Text Char"/>
    <w:link w:val="CommentText"/>
    <w:rsid w:val="00496CB6"/>
    <w:rPr>
      <w:lang w:eastAsia="en-US"/>
    </w:rPr>
  </w:style>
  <w:style w:type="paragraph" w:styleId="CommentSubject">
    <w:name w:val="annotation subject"/>
    <w:basedOn w:val="CommentText"/>
    <w:next w:val="CommentText"/>
    <w:link w:val="CommentSubjectChar"/>
    <w:rsid w:val="00496CB6"/>
    <w:rPr>
      <w:b/>
      <w:bCs/>
    </w:rPr>
  </w:style>
  <w:style w:type="character" w:customStyle="1" w:styleId="CommentSubjectChar">
    <w:name w:val="Comment Subject Char"/>
    <w:link w:val="CommentSubject"/>
    <w:rsid w:val="00496CB6"/>
    <w:rPr>
      <w:b/>
      <w:bCs/>
      <w:lang w:eastAsia="en-US"/>
    </w:rPr>
  </w:style>
  <w:style w:type="paragraph" w:customStyle="1" w:styleId="Default">
    <w:name w:val="Default"/>
    <w:rsid w:val="00E5599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2B543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044">
      <w:bodyDiv w:val="1"/>
      <w:marLeft w:val="0"/>
      <w:marRight w:val="0"/>
      <w:marTop w:val="0"/>
      <w:marBottom w:val="0"/>
      <w:divBdr>
        <w:top w:val="none" w:sz="0" w:space="0" w:color="auto"/>
        <w:left w:val="none" w:sz="0" w:space="0" w:color="auto"/>
        <w:bottom w:val="none" w:sz="0" w:space="0" w:color="auto"/>
        <w:right w:val="none" w:sz="0" w:space="0" w:color="auto"/>
      </w:divBdr>
    </w:div>
    <w:div w:id="107167731">
      <w:bodyDiv w:val="1"/>
      <w:marLeft w:val="0"/>
      <w:marRight w:val="0"/>
      <w:marTop w:val="0"/>
      <w:marBottom w:val="0"/>
      <w:divBdr>
        <w:top w:val="none" w:sz="0" w:space="0" w:color="auto"/>
        <w:left w:val="none" w:sz="0" w:space="0" w:color="auto"/>
        <w:bottom w:val="none" w:sz="0" w:space="0" w:color="auto"/>
        <w:right w:val="none" w:sz="0" w:space="0" w:color="auto"/>
      </w:divBdr>
    </w:div>
    <w:div w:id="128134027">
      <w:bodyDiv w:val="1"/>
      <w:marLeft w:val="0"/>
      <w:marRight w:val="0"/>
      <w:marTop w:val="0"/>
      <w:marBottom w:val="0"/>
      <w:divBdr>
        <w:top w:val="none" w:sz="0" w:space="0" w:color="auto"/>
        <w:left w:val="none" w:sz="0" w:space="0" w:color="auto"/>
        <w:bottom w:val="none" w:sz="0" w:space="0" w:color="auto"/>
        <w:right w:val="none" w:sz="0" w:space="0" w:color="auto"/>
      </w:divBdr>
    </w:div>
    <w:div w:id="197595484">
      <w:bodyDiv w:val="1"/>
      <w:marLeft w:val="0"/>
      <w:marRight w:val="0"/>
      <w:marTop w:val="0"/>
      <w:marBottom w:val="0"/>
      <w:divBdr>
        <w:top w:val="none" w:sz="0" w:space="0" w:color="auto"/>
        <w:left w:val="none" w:sz="0" w:space="0" w:color="auto"/>
        <w:bottom w:val="none" w:sz="0" w:space="0" w:color="auto"/>
        <w:right w:val="none" w:sz="0" w:space="0" w:color="auto"/>
      </w:divBdr>
    </w:div>
    <w:div w:id="272134463">
      <w:bodyDiv w:val="1"/>
      <w:marLeft w:val="0"/>
      <w:marRight w:val="0"/>
      <w:marTop w:val="0"/>
      <w:marBottom w:val="0"/>
      <w:divBdr>
        <w:top w:val="none" w:sz="0" w:space="0" w:color="auto"/>
        <w:left w:val="none" w:sz="0" w:space="0" w:color="auto"/>
        <w:bottom w:val="none" w:sz="0" w:space="0" w:color="auto"/>
        <w:right w:val="none" w:sz="0" w:space="0" w:color="auto"/>
      </w:divBdr>
    </w:div>
    <w:div w:id="301422562">
      <w:bodyDiv w:val="1"/>
      <w:marLeft w:val="0"/>
      <w:marRight w:val="0"/>
      <w:marTop w:val="0"/>
      <w:marBottom w:val="0"/>
      <w:divBdr>
        <w:top w:val="none" w:sz="0" w:space="0" w:color="auto"/>
        <w:left w:val="none" w:sz="0" w:space="0" w:color="auto"/>
        <w:bottom w:val="none" w:sz="0" w:space="0" w:color="auto"/>
        <w:right w:val="none" w:sz="0" w:space="0" w:color="auto"/>
      </w:divBdr>
    </w:div>
    <w:div w:id="313878771">
      <w:bodyDiv w:val="1"/>
      <w:marLeft w:val="0"/>
      <w:marRight w:val="0"/>
      <w:marTop w:val="0"/>
      <w:marBottom w:val="0"/>
      <w:divBdr>
        <w:top w:val="none" w:sz="0" w:space="0" w:color="auto"/>
        <w:left w:val="none" w:sz="0" w:space="0" w:color="auto"/>
        <w:bottom w:val="none" w:sz="0" w:space="0" w:color="auto"/>
        <w:right w:val="none" w:sz="0" w:space="0" w:color="auto"/>
      </w:divBdr>
    </w:div>
    <w:div w:id="324553059">
      <w:bodyDiv w:val="1"/>
      <w:marLeft w:val="0"/>
      <w:marRight w:val="0"/>
      <w:marTop w:val="0"/>
      <w:marBottom w:val="0"/>
      <w:divBdr>
        <w:top w:val="none" w:sz="0" w:space="0" w:color="auto"/>
        <w:left w:val="none" w:sz="0" w:space="0" w:color="auto"/>
        <w:bottom w:val="none" w:sz="0" w:space="0" w:color="auto"/>
        <w:right w:val="none" w:sz="0" w:space="0" w:color="auto"/>
      </w:divBdr>
    </w:div>
    <w:div w:id="337852664">
      <w:bodyDiv w:val="1"/>
      <w:marLeft w:val="0"/>
      <w:marRight w:val="0"/>
      <w:marTop w:val="0"/>
      <w:marBottom w:val="0"/>
      <w:divBdr>
        <w:top w:val="none" w:sz="0" w:space="0" w:color="auto"/>
        <w:left w:val="none" w:sz="0" w:space="0" w:color="auto"/>
        <w:bottom w:val="none" w:sz="0" w:space="0" w:color="auto"/>
        <w:right w:val="none" w:sz="0" w:space="0" w:color="auto"/>
      </w:divBdr>
    </w:div>
    <w:div w:id="353775006">
      <w:bodyDiv w:val="1"/>
      <w:marLeft w:val="0"/>
      <w:marRight w:val="0"/>
      <w:marTop w:val="0"/>
      <w:marBottom w:val="0"/>
      <w:divBdr>
        <w:top w:val="none" w:sz="0" w:space="0" w:color="auto"/>
        <w:left w:val="none" w:sz="0" w:space="0" w:color="auto"/>
        <w:bottom w:val="none" w:sz="0" w:space="0" w:color="auto"/>
        <w:right w:val="none" w:sz="0" w:space="0" w:color="auto"/>
      </w:divBdr>
    </w:div>
    <w:div w:id="423500375">
      <w:bodyDiv w:val="1"/>
      <w:marLeft w:val="0"/>
      <w:marRight w:val="0"/>
      <w:marTop w:val="0"/>
      <w:marBottom w:val="0"/>
      <w:divBdr>
        <w:top w:val="none" w:sz="0" w:space="0" w:color="auto"/>
        <w:left w:val="none" w:sz="0" w:space="0" w:color="auto"/>
        <w:bottom w:val="none" w:sz="0" w:space="0" w:color="auto"/>
        <w:right w:val="none" w:sz="0" w:space="0" w:color="auto"/>
      </w:divBdr>
    </w:div>
    <w:div w:id="447118456">
      <w:bodyDiv w:val="1"/>
      <w:marLeft w:val="0"/>
      <w:marRight w:val="0"/>
      <w:marTop w:val="0"/>
      <w:marBottom w:val="0"/>
      <w:divBdr>
        <w:top w:val="none" w:sz="0" w:space="0" w:color="auto"/>
        <w:left w:val="none" w:sz="0" w:space="0" w:color="auto"/>
        <w:bottom w:val="none" w:sz="0" w:space="0" w:color="auto"/>
        <w:right w:val="none" w:sz="0" w:space="0" w:color="auto"/>
      </w:divBdr>
    </w:div>
    <w:div w:id="475338002">
      <w:bodyDiv w:val="1"/>
      <w:marLeft w:val="0"/>
      <w:marRight w:val="0"/>
      <w:marTop w:val="0"/>
      <w:marBottom w:val="0"/>
      <w:divBdr>
        <w:top w:val="none" w:sz="0" w:space="0" w:color="auto"/>
        <w:left w:val="none" w:sz="0" w:space="0" w:color="auto"/>
        <w:bottom w:val="none" w:sz="0" w:space="0" w:color="auto"/>
        <w:right w:val="none" w:sz="0" w:space="0" w:color="auto"/>
      </w:divBdr>
    </w:div>
    <w:div w:id="508063619">
      <w:bodyDiv w:val="1"/>
      <w:marLeft w:val="0"/>
      <w:marRight w:val="0"/>
      <w:marTop w:val="0"/>
      <w:marBottom w:val="0"/>
      <w:divBdr>
        <w:top w:val="none" w:sz="0" w:space="0" w:color="auto"/>
        <w:left w:val="none" w:sz="0" w:space="0" w:color="auto"/>
        <w:bottom w:val="none" w:sz="0" w:space="0" w:color="auto"/>
        <w:right w:val="none" w:sz="0" w:space="0" w:color="auto"/>
      </w:divBdr>
    </w:div>
    <w:div w:id="601373976">
      <w:bodyDiv w:val="1"/>
      <w:marLeft w:val="0"/>
      <w:marRight w:val="0"/>
      <w:marTop w:val="0"/>
      <w:marBottom w:val="0"/>
      <w:divBdr>
        <w:top w:val="none" w:sz="0" w:space="0" w:color="auto"/>
        <w:left w:val="none" w:sz="0" w:space="0" w:color="auto"/>
        <w:bottom w:val="none" w:sz="0" w:space="0" w:color="auto"/>
        <w:right w:val="none" w:sz="0" w:space="0" w:color="auto"/>
      </w:divBdr>
    </w:div>
    <w:div w:id="654602535">
      <w:bodyDiv w:val="1"/>
      <w:marLeft w:val="0"/>
      <w:marRight w:val="0"/>
      <w:marTop w:val="0"/>
      <w:marBottom w:val="0"/>
      <w:divBdr>
        <w:top w:val="none" w:sz="0" w:space="0" w:color="auto"/>
        <w:left w:val="none" w:sz="0" w:space="0" w:color="auto"/>
        <w:bottom w:val="none" w:sz="0" w:space="0" w:color="auto"/>
        <w:right w:val="none" w:sz="0" w:space="0" w:color="auto"/>
      </w:divBdr>
    </w:div>
    <w:div w:id="736322551">
      <w:bodyDiv w:val="1"/>
      <w:marLeft w:val="0"/>
      <w:marRight w:val="0"/>
      <w:marTop w:val="0"/>
      <w:marBottom w:val="0"/>
      <w:divBdr>
        <w:top w:val="none" w:sz="0" w:space="0" w:color="auto"/>
        <w:left w:val="none" w:sz="0" w:space="0" w:color="auto"/>
        <w:bottom w:val="none" w:sz="0" w:space="0" w:color="auto"/>
        <w:right w:val="none" w:sz="0" w:space="0" w:color="auto"/>
      </w:divBdr>
    </w:div>
    <w:div w:id="768233040">
      <w:bodyDiv w:val="1"/>
      <w:marLeft w:val="0"/>
      <w:marRight w:val="0"/>
      <w:marTop w:val="0"/>
      <w:marBottom w:val="0"/>
      <w:divBdr>
        <w:top w:val="none" w:sz="0" w:space="0" w:color="auto"/>
        <w:left w:val="none" w:sz="0" w:space="0" w:color="auto"/>
        <w:bottom w:val="none" w:sz="0" w:space="0" w:color="auto"/>
        <w:right w:val="none" w:sz="0" w:space="0" w:color="auto"/>
      </w:divBdr>
    </w:div>
    <w:div w:id="828516827">
      <w:bodyDiv w:val="1"/>
      <w:marLeft w:val="0"/>
      <w:marRight w:val="0"/>
      <w:marTop w:val="0"/>
      <w:marBottom w:val="0"/>
      <w:divBdr>
        <w:top w:val="none" w:sz="0" w:space="0" w:color="auto"/>
        <w:left w:val="none" w:sz="0" w:space="0" w:color="auto"/>
        <w:bottom w:val="none" w:sz="0" w:space="0" w:color="auto"/>
        <w:right w:val="none" w:sz="0" w:space="0" w:color="auto"/>
      </w:divBdr>
    </w:div>
    <w:div w:id="829517319">
      <w:bodyDiv w:val="1"/>
      <w:marLeft w:val="0"/>
      <w:marRight w:val="0"/>
      <w:marTop w:val="0"/>
      <w:marBottom w:val="0"/>
      <w:divBdr>
        <w:top w:val="none" w:sz="0" w:space="0" w:color="auto"/>
        <w:left w:val="none" w:sz="0" w:space="0" w:color="auto"/>
        <w:bottom w:val="none" w:sz="0" w:space="0" w:color="auto"/>
        <w:right w:val="none" w:sz="0" w:space="0" w:color="auto"/>
      </w:divBdr>
    </w:div>
    <w:div w:id="847402436">
      <w:bodyDiv w:val="1"/>
      <w:marLeft w:val="0"/>
      <w:marRight w:val="0"/>
      <w:marTop w:val="0"/>
      <w:marBottom w:val="0"/>
      <w:divBdr>
        <w:top w:val="none" w:sz="0" w:space="0" w:color="auto"/>
        <w:left w:val="none" w:sz="0" w:space="0" w:color="auto"/>
        <w:bottom w:val="none" w:sz="0" w:space="0" w:color="auto"/>
        <w:right w:val="none" w:sz="0" w:space="0" w:color="auto"/>
      </w:divBdr>
    </w:div>
    <w:div w:id="856507772">
      <w:bodyDiv w:val="1"/>
      <w:marLeft w:val="0"/>
      <w:marRight w:val="0"/>
      <w:marTop w:val="0"/>
      <w:marBottom w:val="0"/>
      <w:divBdr>
        <w:top w:val="none" w:sz="0" w:space="0" w:color="auto"/>
        <w:left w:val="none" w:sz="0" w:space="0" w:color="auto"/>
        <w:bottom w:val="none" w:sz="0" w:space="0" w:color="auto"/>
        <w:right w:val="none" w:sz="0" w:space="0" w:color="auto"/>
      </w:divBdr>
    </w:div>
    <w:div w:id="906114376">
      <w:bodyDiv w:val="1"/>
      <w:marLeft w:val="0"/>
      <w:marRight w:val="0"/>
      <w:marTop w:val="0"/>
      <w:marBottom w:val="0"/>
      <w:divBdr>
        <w:top w:val="none" w:sz="0" w:space="0" w:color="auto"/>
        <w:left w:val="none" w:sz="0" w:space="0" w:color="auto"/>
        <w:bottom w:val="none" w:sz="0" w:space="0" w:color="auto"/>
        <w:right w:val="none" w:sz="0" w:space="0" w:color="auto"/>
      </w:divBdr>
    </w:div>
    <w:div w:id="956789905">
      <w:bodyDiv w:val="1"/>
      <w:marLeft w:val="0"/>
      <w:marRight w:val="0"/>
      <w:marTop w:val="0"/>
      <w:marBottom w:val="0"/>
      <w:divBdr>
        <w:top w:val="none" w:sz="0" w:space="0" w:color="auto"/>
        <w:left w:val="none" w:sz="0" w:space="0" w:color="auto"/>
        <w:bottom w:val="none" w:sz="0" w:space="0" w:color="auto"/>
        <w:right w:val="none" w:sz="0" w:space="0" w:color="auto"/>
      </w:divBdr>
    </w:div>
    <w:div w:id="991448500">
      <w:bodyDiv w:val="1"/>
      <w:marLeft w:val="0"/>
      <w:marRight w:val="0"/>
      <w:marTop w:val="0"/>
      <w:marBottom w:val="0"/>
      <w:divBdr>
        <w:top w:val="none" w:sz="0" w:space="0" w:color="auto"/>
        <w:left w:val="none" w:sz="0" w:space="0" w:color="auto"/>
        <w:bottom w:val="none" w:sz="0" w:space="0" w:color="auto"/>
        <w:right w:val="none" w:sz="0" w:space="0" w:color="auto"/>
      </w:divBdr>
    </w:div>
    <w:div w:id="1018461010">
      <w:bodyDiv w:val="1"/>
      <w:marLeft w:val="0"/>
      <w:marRight w:val="0"/>
      <w:marTop w:val="0"/>
      <w:marBottom w:val="0"/>
      <w:divBdr>
        <w:top w:val="none" w:sz="0" w:space="0" w:color="auto"/>
        <w:left w:val="none" w:sz="0" w:space="0" w:color="auto"/>
        <w:bottom w:val="none" w:sz="0" w:space="0" w:color="auto"/>
        <w:right w:val="none" w:sz="0" w:space="0" w:color="auto"/>
      </w:divBdr>
    </w:div>
    <w:div w:id="1119765831">
      <w:bodyDiv w:val="1"/>
      <w:marLeft w:val="0"/>
      <w:marRight w:val="0"/>
      <w:marTop w:val="0"/>
      <w:marBottom w:val="0"/>
      <w:divBdr>
        <w:top w:val="none" w:sz="0" w:space="0" w:color="auto"/>
        <w:left w:val="none" w:sz="0" w:space="0" w:color="auto"/>
        <w:bottom w:val="none" w:sz="0" w:space="0" w:color="auto"/>
        <w:right w:val="none" w:sz="0" w:space="0" w:color="auto"/>
      </w:divBdr>
    </w:div>
    <w:div w:id="1127822416">
      <w:bodyDiv w:val="1"/>
      <w:marLeft w:val="0"/>
      <w:marRight w:val="0"/>
      <w:marTop w:val="0"/>
      <w:marBottom w:val="0"/>
      <w:divBdr>
        <w:top w:val="none" w:sz="0" w:space="0" w:color="auto"/>
        <w:left w:val="none" w:sz="0" w:space="0" w:color="auto"/>
        <w:bottom w:val="none" w:sz="0" w:space="0" w:color="auto"/>
        <w:right w:val="none" w:sz="0" w:space="0" w:color="auto"/>
      </w:divBdr>
    </w:div>
    <w:div w:id="1173302185">
      <w:bodyDiv w:val="1"/>
      <w:marLeft w:val="0"/>
      <w:marRight w:val="0"/>
      <w:marTop w:val="0"/>
      <w:marBottom w:val="0"/>
      <w:divBdr>
        <w:top w:val="none" w:sz="0" w:space="0" w:color="auto"/>
        <w:left w:val="none" w:sz="0" w:space="0" w:color="auto"/>
        <w:bottom w:val="none" w:sz="0" w:space="0" w:color="auto"/>
        <w:right w:val="none" w:sz="0" w:space="0" w:color="auto"/>
      </w:divBdr>
    </w:div>
    <w:div w:id="1185754934">
      <w:bodyDiv w:val="1"/>
      <w:marLeft w:val="0"/>
      <w:marRight w:val="0"/>
      <w:marTop w:val="0"/>
      <w:marBottom w:val="0"/>
      <w:divBdr>
        <w:top w:val="none" w:sz="0" w:space="0" w:color="auto"/>
        <w:left w:val="none" w:sz="0" w:space="0" w:color="auto"/>
        <w:bottom w:val="none" w:sz="0" w:space="0" w:color="auto"/>
        <w:right w:val="none" w:sz="0" w:space="0" w:color="auto"/>
      </w:divBdr>
      <w:divsChild>
        <w:div w:id="8290106">
          <w:marLeft w:val="0"/>
          <w:marRight w:val="0"/>
          <w:marTop w:val="58"/>
          <w:marBottom w:val="0"/>
          <w:divBdr>
            <w:top w:val="none" w:sz="0" w:space="0" w:color="auto"/>
            <w:left w:val="none" w:sz="0" w:space="0" w:color="auto"/>
            <w:bottom w:val="none" w:sz="0" w:space="0" w:color="auto"/>
            <w:right w:val="none" w:sz="0" w:space="0" w:color="auto"/>
          </w:divBdr>
        </w:div>
        <w:div w:id="241573293">
          <w:marLeft w:val="0"/>
          <w:marRight w:val="0"/>
          <w:marTop w:val="58"/>
          <w:marBottom w:val="0"/>
          <w:divBdr>
            <w:top w:val="none" w:sz="0" w:space="0" w:color="auto"/>
            <w:left w:val="none" w:sz="0" w:space="0" w:color="auto"/>
            <w:bottom w:val="none" w:sz="0" w:space="0" w:color="auto"/>
            <w:right w:val="none" w:sz="0" w:space="0" w:color="auto"/>
          </w:divBdr>
        </w:div>
        <w:div w:id="269708127">
          <w:marLeft w:val="0"/>
          <w:marRight w:val="0"/>
          <w:marTop w:val="58"/>
          <w:marBottom w:val="0"/>
          <w:divBdr>
            <w:top w:val="none" w:sz="0" w:space="0" w:color="auto"/>
            <w:left w:val="none" w:sz="0" w:space="0" w:color="auto"/>
            <w:bottom w:val="none" w:sz="0" w:space="0" w:color="auto"/>
            <w:right w:val="none" w:sz="0" w:space="0" w:color="auto"/>
          </w:divBdr>
        </w:div>
        <w:div w:id="609162742">
          <w:marLeft w:val="0"/>
          <w:marRight w:val="0"/>
          <w:marTop w:val="58"/>
          <w:marBottom w:val="0"/>
          <w:divBdr>
            <w:top w:val="none" w:sz="0" w:space="0" w:color="auto"/>
            <w:left w:val="none" w:sz="0" w:space="0" w:color="auto"/>
            <w:bottom w:val="none" w:sz="0" w:space="0" w:color="auto"/>
            <w:right w:val="none" w:sz="0" w:space="0" w:color="auto"/>
          </w:divBdr>
        </w:div>
        <w:div w:id="1377005549">
          <w:marLeft w:val="0"/>
          <w:marRight w:val="0"/>
          <w:marTop w:val="58"/>
          <w:marBottom w:val="0"/>
          <w:divBdr>
            <w:top w:val="none" w:sz="0" w:space="0" w:color="auto"/>
            <w:left w:val="none" w:sz="0" w:space="0" w:color="auto"/>
            <w:bottom w:val="none" w:sz="0" w:space="0" w:color="auto"/>
            <w:right w:val="none" w:sz="0" w:space="0" w:color="auto"/>
          </w:divBdr>
        </w:div>
        <w:div w:id="1866098062">
          <w:marLeft w:val="0"/>
          <w:marRight w:val="0"/>
          <w:marTop w:val="58"/>
          <w:marBottom w:val="0"/>
          <w:divBdr>
            <w:top w:val="none" w:sz="0" w:space="0" w:color="auto"/>
            <w:left w:val="none" w:sz="0" w:space="0" w:color="auto"/>
            <w:bottom w:val="none" w:sz="0" w:space="0" w:color="auto"/>
            <w:right w:val="none" w:sz="0" w:space="0" w:color="auto"/>
          </w:divBdr>
        </w:div>
        <w:div w:id="2144231428">
          <w:marLeft w:val="0"/>
          <w:marRight w:val="0"/>
          <w:marTop w:val="58"/>
          <w:marBottom w:val="0"/>
          <w:divBdr>
            <w:top w:val="none" w:sz="0" w:space="0" w:color="auto"/>
            <w:left w:val="none" w:sz="0" w:space="0" w:color="auto"/>
            <w:bottom w:val="none" w:sz="0" w:space="0" w:color="auto"/>
            <w:right w:val="none" w:sz="0" w:space="0" w:color="auto"/>
          </w:divBdr>
        </w:div>
      </w:divsChild>
    </w:div>
    <w:div w:id="1186751093">
      <w:bodyDiv w:val="1"/>
      <w:marLeft w:val="0"/>
      <w:marRight w:val="0"/>
      <w:marTop w:val="0"/>
      <w:marBottom w:val="0"/>
      <w:divBdr>
        <w:top w:val="none" w:sz="0" w:space="0" w:color="auto"/>
        <w:left w:val="none" w:sz="0" w:space="0" w:color="auto"/>
        <w:bottom w:val="none" w:sz="0" w:space="0" w:color="auto"/>
        <w:right w:val="none" w:sz="0" w:space="0" w:color="auto"/>
      </w:divBdr>
    </w:div>
    <w:div w:id="1190603621">
      <w:bodyDiv w:val="1"/>
      <w:marLeft w:val="0"/>
      <w:marRight w:val="0"/>
      <w:marTop w:val="0"/>
      <w:marBottom w:val="0"/>
      <w:divBdr>
        <w:top w:val="none" w:sz="0" w:space="0" w:color="auto"/>
        <w:left w:val="none" w:sz="0" w:space="0" w:color="auto"/>
        <w:bottom w:val="none" w:sz="0" w:space="0" w:color="auto"/>
        <w:right w:val="none" w:sz="0" w:space="0" w:color="auto"/>
      </w:divBdr>
    </w:div>
    <w:div w:id="1253929799">
      <w:bodyDiv w:val="1"/>
      <w:marLeft w:val="0"/>
      <w:marRight w:val="0"/>
      <w:marTop w:val="0"/>
      <w:marBottom w:val="0"/>
      <w:divBdr>
        <w:top w:val="none" w:sz="0" w:space="0" w:color="auto"/>
        <w:left w:val="none" w:sz="0" w:space="0" w:color="auto"/>
        <w:bottom w:val="none" w:sz="0" w:space="0" w:color="auto"/>
        <w:right w:val="none" w:sz="0" w:space="0" w:color="auto"/>
      </w:divBdr>
    </w:div>
    <w:div w:id="1254899645">
      <w:bodyDiv w:val="1"/>
      <w:marLeft w:val="0"/>
      <w:marRight w:val="0"/>
      <w:marTop w:val="0"/>
      <w:marBottom w:val="0"/>
      <w:divBdr>
        <w:top w:val="none" w:sz="0" w:space="0" w:color="auto"/>
        <w:left w:val="none" w:sz="0" w:space="0" w:color="auto"/>
        <w:bottom w:val="none" w:sz="0" w:space="0" w:color="auto"/>
        <w:right w:val="none" w:sz="0" w:space="0" w:color="auto"/>
      </w:divBdr>
    </w:div>
    <w:div w:id="1284969682">
      <w:bodyDiv w:val="1"/>
      <w:marLeft w:val="0"/>
      <w:marRight w:val="0"/>
      <w:marTop w:val="0"/>
      <w:marBottom w:val="0"/>
      <w:divBdr>
        <w:top w:val="none" w:sz="0" w:space="0" w:color="auto"/>
        <w:left w:val="none" w:sz="0" w:space="0" w:color="auto"/>
        <w:bottom w:val="none" w:sz="0" w:space="0" w:color="auto"/>
        <w:right w:val="none" w:sz="0" w:space="0" w:color="auto"/>
      </w:divBdr>
    </w:div>
    <w:div w:id="1347710069">
      <w:bodyDiv w:val="1"/>
      <w:marLeft w:val="0"/>
      <w:marRight w:val="0"/>
      <w:marTop w:val="0"/>
      <w:marBottom w:val="0"/>
      <w:divBdr>
        <w:top w:val="none" w:sz="0" w:space="0" w:color="auto"/>
        <w:left w:val="none" w:sz="0" w:space="0" w:color="auto"/>
        <w:bottom w:val="none" w:sz="0" w:space="0" w:color="auto"/>
        <w:right w:val="none" w:sz="0" w:space="0" w:color="auto"/>
      </w:divBdr>
    </w:div>
    <w:div w:id="1355964307">
      <w:bodyDiv w:val="1"/>
      <w:marLeft w:val="0"/>
      <w:marRight w:val="0"/>
      <w:marTop w:val="0"/>
      <w:marBottom w:val="0"/>
      <w:divBdr>
        <w:top w:val="none" w:sz="0" w:space="0" w:color="auto"/>
        <w:left w:val="none" w:sz="0" w:space="0" w:color="auto"/>
        <w:bottom w:val="none" w:sz="0" w:space="0" w:color="auto"/>
        <w:right w:val="none" w:sz="0" w:space="0" w:color="auto"/>
      </w:divBdr>
    </w:div>
    <w:div w:id="1379863616">
      <w:bodyDiv w:val="1"/>
      <w:marLeft w:val="0"/>
      <w:marRight w:val="0"/>
      <w:marTop w:val="0"/>
      <w:marBottom w:val="0"/>
      <w:divBdr>
        <w:top w:val="none" w:sz="0" w:space="0" w:color="auto"/>
        <w:left w:val="none" w:sz="0" w:space="0" w:color="auto"/>
        <w:bottom w:val="none" w:sz="0" w:space="0" w:color="auto"/>
        <w:right w:val="none" w:sz="0" w:space="0" w:color="auto"/>
      </w:divBdr>
    </w:div>
    <w:div w:id="1413501242">
      <w:bodyDiv w:val="1"/>
      <w:marLeft w:val="0"/>
      <w:marRight w:val="0"/>
      <w:marTop w:val="0"/>
      <w:marBottom w:val="0"/>
      <w:divBdr>
        <w:top w:val="none" w:sz="0" w:space="0" w:color="auto"/>
        <w:left w:val="none" w:sz="0" w:space="0" w:color="auto"/>
        <w:bottom w:val="none" w:sz="0" w:space="0" w:color="auto"/>
        <w:right w:val="none" w:sz="0" w:space="0" w:color="auto"/>
      </w:divBdr>
    </w:div>
    <w:div w:id="1504052434">
      <w:bodyDiv w:val="1"/>
      <w:marLeft w:val="0"/>
      <w:marRight w:val="0"/>
      <w:marTop w:val="0"/>
      <w:marBottom w:val="0"/>
      <w:divBdr>
        <w:top w:val="none" w:sz="0" w:space="0" w:color="auto"/>
        <w:left w:val="none" w:sz="0" w:space="0" w:color="auto"/>
        <w:bottom w:val="none" w:sz="0" w:space="0" w:color="auto"/>
        <w:right w:val="none" w:sz="0" w:space="0" w:color="auto"/>
      </w:divBdr>
    </w:div>
    <w:div w:id="1511481777">
      <w:bodyDiv w:val="1"/>
      <w:marLeft w:val="0"/>
      <w:marRight w:val="0"/>
      <w:marTop w:val="0"/>
      <w:marBottom w:val="0"/>
      <w:divBdr>
        <w:top w:val="none" w:sz="0" w:space="0" w:color="auto"/>
        <w:left w:val="none" w:sz="0" w:space="0" w:color="auto"/>
        <w:bottom w:val="none" w:sz="0" w:space="0" w:color="auto"/>
        <w:right w:val="none" w:sz="0" w:space="0" w:color="auto"/>
      </w:divBdr>
    </w:div>
    <w:div w:id="1531184770">
      <w:bodyDiv w:val="1"/>
      <w:marLeft w:val="0"/>
      <w:marRight w:val="0"/>
      <w:marTop w:val="0"/>
      <w:marBottom w:val="0"/>
      <w:divBdr>
        <w:top w:val="none" w:sz="0" w:space="0" w:color="auto"/>
        <w:left w:val="none" w:sz="0" w:space="0" w:color="auto"/>
        <w:bottom w:val="none" w:sz="0" w:space="0" w:color="auto"/>
        <w:right w:val="none" w:sz="0" w:space="0" w:color="auto"/>
      </w:divBdr>
    </w:div>
    <w:div w:id="1603610080">
      <w:bodyDiv w:val="1"/>
      <w:marLeft w:val="0"/>
      <w:marRight w:val="0"/>
      <w:marTop w:val="0"/>
      <w:marBottom w:val="0"/>
      <w:divBdr>
        <w:top w:val="none" w:sz="0" w:space="0" w:color="auto"/>
        <w:left w:val="none" w:sz="0" w:space="0" w:color="auto"/>
        <w:bottom w:val="none" w:sz="0" w:space="0" w:color="auto"/>
        <w:right w:val="none" w:sz="0" w:space="0" w:color="auto"/>
      </w:divBdr>
    </w:div>
    <w:div w:id="1642227856">
      <w:bodyDiv w:val="1"/>
      <w:marLeft w:val="0"/>
      <w:marRight w:val="0"/>
      <w:marTop w:val="0"/>
      <w:marBottom w:val="0"/>
      <w:divBdr>
        <w:top w:val="none" w:sz="0" w:space="0" w:color="auto"/>
        <w:left w:val="none" w:sz="0" w:space="0" w:color="auto"/>
        <w:bottom w:val="none" w:sz="0" w:space="0" w:color="auto"/>
        <w:right w:val="none" w:sz="0" w:space="0" w:color="auto"/>
      </w:divBdr>
      <w:divsChild>
        <w:div w:id="259337111">
          <w:marLeft w:val="3700"/>
          <w:marRight w:val="3700"/>
          <w:marTop w:val="0"/>
          <w:marBottom w:val="0"/>
          <w:divBdr>
            <w:top w:val="none" w:sz="0" w:space="0" w:color="auto"/>
            <w:left w:val="none" w:sz="0" w:space="0" w:color="auto"/>
            <w:bottom w:val="none" w:sz="0" w:space="0" w:color="auto"/>
            <w:right w:val="none" w:sz="0" w:space="0" w:color="auto"/>
          </w:divBdr>
          <w:divsChild>
            <w:div w:id="829830255">
              <w:marLeft w:val="0"/>
              <w:marRight w:val="0"/>
              <w:marTop w:val="0"/>
              <w:marBottom w:val="0"/>
              <w:divBdr>
                <w:top w:val="none" w:sz="0" w:space="0" w:color="auto"/>
                <w:left w:val="none" w:sz="0" w:space="0" w:color="auto"/>
                <w:bottom w:val="none" w:sz="0" w:space="0" w:color="auto"/>
                <w:right w:val="none" w:sz="0" w:space="0" w:color="auto"/>
              </w:divBdr>
              <w:divsChild>
                <w:div w:id="153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18074">
      <w:bodyDiv w:val="1"/>
      <w:marLeft w:val="0"/>
      <w:marRight w:val="0"/>
      <w:marTop w:val="0"/>
      <w:marBottom w:val="0"/>
      <w:divBdr>
        <w:top w:val="none" w:sz="0" w:space="0" w:color="auto"/>
        <w:left w:val="none" w:sz="0" w:space="0" w:color="auto"/>
        <w:bottom w:val="none" w:sz="0" w:space="0" w:color="auto"/>
        <w:right w:val="none" w:sz="0" w:space="0" w:color="auto"/>
      </w:divBdr>
    </w:div>
    <w:div w:id="1745905905">
      <w:bodyDiv w:val="1"/>
      <w:marLeft w:val="0"/>
      <w:marRight w:val="0"/>
      <w:marTop w:val="0"/>
      <w:marBottom w:val="0"/>
      <w:divBdr>
        <w:top w:val="none" w:sz="0" w:space="0" w:color="auto"/>
        <w:left w:val="none" w:sz="0" w:space="0" w:color="auto"/>
        <w:bottom w:val="none" w:sz="0" w:space="0" w:color="auto"/>
        <w:right w:val="none" w:sz="0" w:space="0" w:color="auto"/>
      </w:divBdr>
    </w:div>
    <w:div w:id="1784181522">
      <w:bodyDiv w:val="1"/>
      <w:marLeft w:val="0"/>
      <w:marRight w:val="0"/>
      <w:marTop w:val="0"/>
      <w:marBottom w:val="0"/>
      <w:divBdr>
        <w:top w:val="none" w:sz="0" w:space="0" w:color="auto"/>
        <w:left w:val="none" w:sz="0" w:space="0" w:color="auto"/>
        <w:bottom w:val="none" w:sz="0" w:space="0" w:color="auto"/>
        <w:right w:val="none" w:sz="0" w:space="0" w:color="auto"/>
      </w:divBdr>
    </w:div>
    <w:div w:id="1786538103">
      <w:bodyDiv w:val="1"/>
      <w:marLeft w:val="0"/>
      <w:marRight w:val="0"/>
      <w:marTop w:val="0"/>
      <w:marBottom w:val="0"/>
      <w:divBdr>
        <w:top w:val="none" w:sz="0" w:space="0" w:color="auto"/>
        <w:left w:val="none" w:sz="0" w:space="0" w:color="auto"/>
        <w:bottom w:val="none" w:sz="0" w:space="0" w:color="auto"/>
        <w:right w:val="none" w:sz="0" w:space="0" w:color="auto"/>
      </w:divBdr>
    </w:div>
    <w:div w:id="1846087194">
      <w:bodyDiv w:val="1"/>
      <w:marLeft w:val="0"/>
      <w:marRight w:val="0"/>
      <w:marTop w:val="0"/>
      <w:marBottom w:val="0"/>
      <w:divBdr>
        <w:top w:val="none" w:sz="0" w:space="0" w:color="auto"/>
        <w:left w:val="none" w:sz="0" w:space="0" w:color="auto"/>
        <w:bottom w:val="none" w:sz="0" w:space="0" w:color="auto"/>
        <w:right w:val="none" w:sz="0" w:space="0" w:color="auto"/>
      </w:divBdr>
    </w:div>
    <w:div w:id="1958872098">
      <w:bodyDiv w:val="1"/>
      <w:marLeft w:val="0"/>
      <w:marRight w:val="0"/>
      <w:marTop w:val="0"/>
      <w:marBottom w:val="0"/>
      <w:divBdr>
        <w:top w:val="none" w:sz="0" w:space="0" w:color="auto"/>
        <w:left w:val="none" w:sz="0" w:space="0" w:color="auto"/>
        <w:bottom w:val="none" w:sz="0" w:space="0" w:color="auto"/>
        <w:right w:val="none" w:sz="0" w:space="0" w:color="auto"/>
      </w:divBdr>
    </w:div>
    <w:div w:id="1973318628">
      <w:bodyDiv w:val="1"/>
      <w:marLeft w:val="0"/>
      <w:marRight w:val="0"/>
      <w:marTop w:val="0"/>
      <w:marBottom w:val="0"/>
      <w:divBdr>
        <w:top w:val="none" w:sz="0" w:space="0" w:color="auto"/>
        <w:left w:val="none" w:sz="0" w:space="0" w:color="auto"/>
        <w:bottom w:val="none" w:sz="0" w:space="0" w:color="auto"/>
        <w:right w:val="none" w:sz="0" w:space="0" w:color="auto"/>
      </w:divBdr>
    </w:div>
    <w:div w:id="2047100653">
      <w:bodyDiv w:val="1"/>
      <w:marLeft w:val="0"/>
      <w:marRight w:val="0"/>
      <w:marTop w:val="0"/>
      <w:marBottom w:val="0"/>
      <w:divBdr>
        <w:top w:val="none" w:sz="0" w:space="0" w:color="auto"/>
        <w:left w:val="none" w:sz="0" w:space="0" w:color="auto"/>
        <w:bottom w:val="none" w:sz="0" w:space="0" w:color="auto"/>
        <w:right w:val="none" w:sz="0" w:space="0" w:color="auto"/>
      </w:divBdr>
    </w:div>
    <w:div w:id="2090688664">
      <w:bodyDiv w:val="1"/>
      <w:marLeft w:val="0"/>
      <w:marRight w:val="0"/>
      <w:marTop w:val="0"/>
      <w:marBottom w:val="0"/>
      <w:divBdr>
        <w:top w:val="none" w:sz="0" w:space="0" w:color="auto"/>
        <w:left w:val="none" w:sz="0" w:space="0" w:color="auto"/>
        <w:bottom w:val="none" w:sz="0" w:space="0" w:color="auto"/>
        <w:right w:val="none" w:sz="0" w:space="0" w:color="auto"/>
      </w:divBdr>
    </w:div>
    <w:div w:id="2120179025">
      <w:bodyDiv w:val="1"/>
      <w:marLeft w:val="0"/>
      <w:marRight w:val="0"/>
      <w:marTop w:val="0"/>
      <w:marBottom w:val="0"/>
      <w:divBdr>
        <w:top w:val="none" w:sz="0" w:space="0" w:color="auto"/>
        <w:left w:val="none" w:sz="0" w:space="0" w:color="auto"/>
        <w:bottom w:val="none" w:sz="0" w:space="0" w:color="auto"/>
        <w:right w:val="none" w:sz="0" w:space="0" w:color="auto"/>
      </w:divBdr>
    </w:div>
    <w:div w:id="2122144135">
      <w:bodyDiv w:val="1"/>
      <w:marLeft w:val="0"/>
      <w:marRight w:val="0"/>
      <w:marTop w:val="0"/>
      <w:marBottom w:val="600"/>
      <w:divBdr>
        <w:top w:val="none" w:sz="0" w:space="0" w:color="auto"/>
        <w:left w:val="none" w:sz="0" w:space="0" w:color="auto"/>
        <w:bottom w:val="none" w:sz="0" w:space="0" w:color="auto"/>
        <w:right w:val="none" w:sz="0" w:space="0" w:color="auto"/>
      </w:divBdr>
      <w:divsChild>
        <w:div w:id="610478940">
          <w:marLeft w:val="0"/>
          <w:marRight w:val="0"/>
          <w:marTop w:val="0"/>
          <w:marBottom w:val="0"/>
          <w:divBdr>
            <w:top w:val="none" w:sz="0" w:space="0" w:color="auto"/>
            <w:left w:val="none" w:sz="0" w:space="0" w:color="auto"/>
            <w:bottom w:val="none" w:sz="0" w:space="0" w:color="auto"/>
            <w:right w:val="none" w:sz="0" w:space="0" w:color="auto"/>
          </w:divBdr>
          <w:divsChild>
            <w:div w:id="65997645">
              <w:marLeft w:val="400"/>
              <w:marRight w:val="400"/>
              <w:marTop w:val="0"/>
              <w:marBottom w:val="0"/>
              <w:divBdr>
                <w:top w:val="none" w:sz="0" w:space="0" w:color="auto"/>
                <w:left w:val="none" w:sz="0" w:space="0" w:color="auto"/>
                <w:bottom w:val="none" w:sz="0" w:space="0" w:color="auto"/>
                <w:right w:val="none" w:sz="0" w:space="0" w:color="auto"/>
              </w:divBdr>
              <w:divsChild>
                <w:div w:id="2055808760">
                  <w:marLeft w:val="3900"/>
                  <w:marRight w:val="0"/>
                  <w:marTop w:val="0"/>
                  <w:marBottom w:val="0"/>
                  <w:divBdr>
                    <w:top w:val="none" w:sz="0" w:space="0" w:color="auto"/>
                    <w:left w:val="none" w:sz="0" w:space="0" w:color="auto"/>
                    <w:bottom w:val="none" w:sz="0" w:space="0" w:color="auto"/>
                    <w:right w:val="none" w:sz="0" w:space="0" w:color="auto"/>
                  </w:divBdr>
                  <w:divsChild>
                    <w:div w:id="8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pnadhanani@westlondonwaste.gov.uk"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mmabeal@westlondonwaste.gov.uk" TargetMode="External"/><Relationship Id="rId4" Type="http://schemas.openxmlformats.org/officeDocument/2006/relationships/settings" Target="settings.xml"/><Relationship Id="rId9" Type="http://schemas.openxmlformats.org/officeDocument/2006/relationships/hyperlink" Target="mailto:ianodonnell@westlondonwaste.gov.uk"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4BB26-AE0E-40ED-9F00-5DAC0BC16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9304</Words>
  <Characters>49375</Characters>
  <Application>Microsoft Office Word</Application>
  <DocSecurity>0</DocSecurity>
  <Lines>411</Lines>
  <Paragraphs>117</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LBE</Company>
  <LinksUpToDate>false</LinksUpToDate>
  <CharactersWithSpaces>58562</CharactersWithSpaces>
  <SharedDoc>false</SharedDoc>
  <HLinks>
    <vt:vector size="18" baseType="variant">
      <vt:variant>
        <vt:i4>4980771</vt:i4>
      </vt:variant>
      <vt:variant>
        <vt:i4>6</vt:i4>
      </vt:variant>
      <vt:variant>
        <vt:i4>0</vt:i4>
      </vt:variant>
      <vt:variant>
        <vt:i4>5</vt:i4>
      </vt:variant>
      <vt:variant>
        <vt:lpwstr>mailto:emmabeal@westlondonwaste.gov.uk</vt:lpwstr>
      </vt:variant>
      <vt:variant>
        <vt:lpwstr/>
      </vt:variant>
      <vt:variant>
        <vt:i4>655463</vt:i4>
      </vt:variant>
      <vt:variant>
        <vt:i4>3</vt:i4>
      </vt:variant>
      <vt:variant>
        <vt:i4>0</vt:i4>
      </vt:variant>
      <vt:variant>
        <vt:i4>5</vt:i4>
      </vt:variant>
      <vt:variant>
        <vt:lpwstr>mailto:ianodonnell@westlondonwaste.gov.uk</vt:lpwstr>
      </vt:variant>
      <vt:variant>
        <vt:lpwstr/>
      </vt:variant>
      <vt:variant>
        <vt:i4>5242927</vt:i4>
      </vt:variant>
      <vt:variant>
        <vt:i4>0</vt:i4>
      </vt:variant>
      <vt:variant>
        <vt:i4>0</vt:i4>
      </vt:variant>
      <vt:variant>
        <vt:i4>5</vt:i4>
      </vt:variant>
      <vt:variant>
        <vt:lpwstr>mailto:jaypatel@westlondonwaste.gov.uk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Mike Nicholls</dc:creator>
  <cp:keywords/>
  <cp:lastModifiedBy>Alison Atherton</cp:lastModifiedBy>
  <cp:revision>4</cp:revision>
  <cp:lastPrinted>2023-01-06T11:15:00Z</cp:lastPrinted>
  <dcterms:created xsi:type="dcterms:W3CDTF">2023-11-22T10:37:00Z</dcterms:created>
  <dcterms:modified xsi:type="dcterms:W3CDTF">2023-11-22T17:40:00Z</dcterms:modified>
</cp:coreProperties>
</file>